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ind w:firstLine="0"/>
        <w:jc w:val="center"/>
      </w:pPr>
      <w:r>
        <w:rPr>
          <w:rFonts w:ascii="Times New Roman" w:hAnsi="Times New Roman" w:eastAsia="方正小标宋简体" w:cs="Times New Roman"/>
          <w:b/>
          <w:i w:val="0"/>
          <w:color w:val="000000"/>
          <w:sz w:val="44"/>
        </w:rPr>
        <w:t>四川生物医药产业集团创新事业部政策信息简报</w:t>
      </w:r>
    </w:p>
    <w:p>
      <w:pPr>
        <w:spacing w:line="36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为及时研判行业监管动向与政策红利，现将截至2026年10月19日本周最新发布的医药产业重点政策及文件摘要汇总如下：</w:t>
      </w:r>
    </w:p>
    <w:p>
      <w:pPr>
        <w:spacing w:line="36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商务部等9部门关于加快推进科技兴商的意见</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商务部 中央网信办 国家发展改革委 教育部 科技部 工业和信息化部 文化和旅游部 中国人民银行 市场监管总局</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2026-10-19</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人力资源社会保障部等4部门关于支持海洋经济发展促进就业创业的通知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人力资源社会保障部 自然资源部 国家发展改革委 交通运输部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2026-06-16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国务院就业促进和劳动保护工作领导小组关于印发《加力重点领域、重点行业、城乡基层和中小微企业岗位挖潜扩容 支持重点群体就业创业实施方案》的通知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2025-03-27</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4</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农业农村部落实中共中央国务院关于进一步深化农村改革扎实推进乡村全面振兴工作部署的实施意见</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2025-02-25</w:t>
            </w:r>
          </w:p>
        </w:tc>
      </w:tr>
    </w:tbl>
    <w:p>
      <w:pPr>
        <w:spacing w:line="36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360" w:lineRule="auto" w:before="80" w:after="0"/>
        <w:ind w:firstLine="480"/>
        <w:jc w:val="both"/>
      </w:pPr>
      <w:r>
        <w:rPr>
          <w:rFonts w:ascii="Times New Roman" w:hAnsi="Times New Roman" w:eastAsia="方正仿宋简体" w:cs="Times New Roman"/>
          <w:b/>
          <w:i w:val="0"/>
          <w:color w:val="000000"/>
          <w:sz w:val="24"/>
        </w:rPr>
        <w:t>1. 《商务部等9部门关于加快推进科技兴商的意见》（发布机关：商务部 中央网信办 国家发展改革委 教育部 科技部 工业和信息化部 文化和旅游部 中国人民银行 市场监管总局，发布日期：2026-10-19）</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文件主要内容与核心要点：。聚焦消费品领域培育一批技术转移转化机构，加速脑机接口、具身智能等前沿科技成果向市场转化。支持智能仓储、数智供应链等领域商贸企业申报专精特新企业。 （十七）强化商贸领域人才培养。加大商业科技复合型</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https://www.gov.cn/zhengce/zhengceku/202610/content_7083721.htm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2. 《人力资源社会保障部等4部门关于支持海洋经济发展促进就业创业的通知》（发布机关：人力资源社会保障部 自然资源部 国家发展改革委 交通运输部，发布日期：2026-06-16）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生物制品产业，支持涉海类高等学校、科研院所与企业深度合作，为海洋科研人员、医疗器械研发工程师等搭建研发推广平台，促进大健康产业高质量发展，吸纳更多高校毕业生等青年就业创业。着力提升海洋产业智能化、绿色化水平</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https://www.gov.cn/zhengce/zhengceku/202606/content_7072347.htm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3. 《国务院就业促进和劳动保护工作领导小组关于印发《加力重点领域、重点行业、城乡基层和中小微企业岗位挖潜扩容 支持重点群体就业创业实施方案》的通知》（发布机关：国务院就业促进和劳动保护工作领导小组，发布日期：2025-03-27）</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行业稳增长工作方案，研究保持制造业合理比重投入机制，落实“两重”、“两新”政策，稳住制造业就业规模。持续开展先进制造业促就业行动，实施制造业重点产业链高质量发展行动，培育智能装备、电子信息、生物医药、</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https://www.gov.cn/zhengce/zhengceku/202503/content_7015975.htm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4. 《农业农村部落实中共中央国务院关于进一步深化农村改革扎实推进乡村全面振兴工作部署的实施意见》（发布机关：农业农村部，发布日期：2025-02-25）</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应对气候变化韧性。探索开展“天空地”一体化农情灾情监测。加快建设区域农机社会化服务中心和区域农业应急救灾中心。组织“虫口夺粮”保丰收行动，统筹农作物病虫害监测防控基础设施和人才队伍建设，大力推进统防</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https://www.gov.cn/zhengce/zhengceku/202502/content_7005554.htm</w:t>
      </w:r>
      <w:r>
        <w:rPr>
          <w:rFonts w:ascii="Times New Roman" w:hAnsi="Times New Roman" w:eastAsia="方正仿宋简体" w:cs="Times New Roman"/>
          <w:b w:val="0"/>
          <w:i w:val="0"/>
          <w:color w:val="000000"/>
          <w:sz w:val="24"/>
        </w:rPr>
        <w:t>）</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