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40" w:before="0" w:after="240"/>
        <w:ind w:firstLine="0"/>
        <w:jc w:val="center"/>
      </w:pPr>
      <w:r>
        <w:rPr>
          <w:rFonts w:ascii="宋体" w:hAnsi="宋体" w:eastAsia="方正小标宋简体" w:cs="宋体"/>
          <w:b/>
          <w:i w:val="0"/>
          <w:color w:val="000000"/>
          <w:sz w:val="44"/>
        </w:rPr>
        <w:t>医药产业政策每日监测简报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为及时研判行业监管动向与政策红利，现将截至2026年08月18日最新发布的医药产业重点政策监测汇总如下：</w:t>
      </w:r>
    </w:p>
    <w:p>
      <w:pPr>
        <w:spacing w:lineRule="exact" w:line="570" w:before="120" w:after="80"/>
        <w:ind w:firstLine="640"/>
        <w:jc w:val="both"/>
      </w:pPr>
      <w:r>
        <w:rPr>
          <w:rFonts w:ascii="黑体" w:hAnsi="黑体" w:eastAsia="黑体" w:cs="黑体"/>
          <w:b w:val="0"/>
          <w:i w:val="0"/>
          <w:color w:val="000000"/>
          <w:sz w:val="32"/>
        </w:rPr>
        <w:t>一、重点政策速览清单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794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80" w:after="80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4535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80" w:after="80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政策文件名称</w:t>
            </w:r>
          </w:p>
        </w:tc>
        <w:tc>
          <w:tcPr>
            <w:tcW w:type="dxa" w:w="2154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80" w:after="80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发布机关</w:t>
            </w:r>
          </w:p>
        </w:tc>
        <w:tc>
          <w:tcPr>
            <w:tcW w:type="dxa" w:w="1361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80" w:after="80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000000"/>
                <w:sz w:val="24"/>
              </w:rPr>
              <w:t>发布日期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民政部关于印发《城乡三级养老服务网络建设管理指引》的通知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民政部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2026-07-08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国家中医药管理局关于印发《三级中医医院评审标准（2026年版）》的通知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国家中医药局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2026-03-28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国家医保局等八部门关于印发《加快建立长期护理保险制度实施方案》的通知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国家医保局 民政部 财政部 人力资源社会保障部 农业农村部 国家卫生健康委 税务总局 中国残疾人联合会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2026-03-26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关于印发乡镇卫生院 社区卫生服务中心中医药服务管理基本规范的通知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国家中医药局 国家卫生健康委 国家疾控局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2026-03-24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商务部等9部门印发《关于促进旅行服务出口 扩大入境消费的政策措施》的通知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商务部 中央网信办 外交部 教育部 文化和旅游部 国家卫生健康委 广电总局 体育总局 国家移民局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2026-03-21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科技部 金融监管总局 工业和信息化部 国家知识产权局印发《关于加快推动科技保险高质量发展 有力支撑高水平科技自立自强的若干意见》的通知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科技部 金融监管总局 工业和信息化部 国家知识产权局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2026-03-02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工业和信息化部等八部门关于印发《中药工业高质量发展实施方案（2026—2030年）》的通知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工业和信息化部 国家民委 农业农村部 国家卫生健康委 国务院国资委 金融监管总局 国家中医药局 国家药监局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2026-02-05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535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中华人民共和国药品管理法实施条例</w:t>
            </w:r>
          </w:p>
        </w:tc>
        <w:tc>
          <w:tcPr>
            <w:tcW w:type="dxa" w:w="2154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国务院</w:t>
            </w:r>
          </w:p>
        </w:tc>
        <w:tc>
          <w:tcPr>
            <w:tcW w:type="dxa" w:w="1361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2026-01-27</w:t>
            </w:r>
          </w:p>
        </w:tc>
      </w:tr>
    </w:tbl>
    <w:p>
      <w:pPr>
        <w:spacing w:lineRule="exact" w:line="570" w:before="240" w:after="80"/>
        <w:ind w:firstLine="640"/>
        <w:jc w:val="both"/>
      </w:pPr>
      <w:r>
        <w:rPr>
          <w:rFonts w:ascii="黑体" w:hAnsi="黑体" w:eastAsia="黑体" w:cs="黑体"/>
          <w:b w:val="0"/>
          <w:i w:val="0"/>
          <w:color w:val="000000"/>
          <w:sz w:val="32"/>
        </w:rPr>
        <w:t>二、重点政策要点与链接直达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1. 民政部关于印发《城乡三级养老服务网络建设管理指引》的通知。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民政部于2026-07-08公开发布。核心内容：自然资源、住房城乡建设、卫生健康等部门协同，强化养老服务设施与相关公共服务设施功能衔接和整合利用，提升整体服务效能。支持发展“党建+养老”、“物业+养老”、“家政+养老”等服务模式，依托基层老年协会、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https://www.gov.cn/zhengce/zhengceku/202607/content_7074664.htm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2. 国家中医药管理局关于印发《三级中医医院评审标准（2026年版）》的通知。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该文件由国家中医药局于2026-03-28公开发布。核心内容：国家中医药管理局关于印发《三级中医医院评审标准（2026年版）》的通知 国中医药医政函〔2026〕39号 各省、自治区、直辖市中医药主管部门，新疆生产建设兵团卫生健康委： 为引导强化中医医院坚持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https://www.gov.cn/zhengce/zhengceku/202603/content_7064072.htm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3. 国家医保局等八部门关于印发《加快建立长期护理保险制度实施方案》的通知。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该文件由国家医保局 民政部 财政部 人力资源社会保障部 农业农村部 国家卫生健康委 税务总局 中国残疾人联合会于2026-03-26公开发布。核心内容：个人共同缴费，与职工基本医疗保险费共同缴纳。根据国家层面基准费率合理确定费率，总体费率控制在0.3%左右，由用人单位和个人按同比例分担，各为0.15%左右。用人单位缴费基数为职工工资总额，个人缴费基数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https://www.gov.cn/zhengce/zhengceku/202603/content_7063915.htm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4. 关于印发乡镇卫生院 社区卫生服务中心中医药服务管理基本规范的通知。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该文件由国家中医药局 国家卫生健康委 国家疾控局于2026-03-24公开发布。核心内容：服务中的特色优势与作用，根据《中华人民共和国基本医疗卫生与健康促进法》《中华人民共和国中医药法》《中共中央 国务院关于促进中医药传承创新发展的意见》等法律规定和政策要求，制定本规范。 第二条 本规范适用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https://www.gov.cn/zhengce/zhengceku/202603/content_7063623.htm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5. 商务部等9部门印发《关于促进旅行服务出口 扩大入境消费的政策措施》的通知。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该文件由商务部 中央网信办 外交部 教育部 文化和旅游部 国家卫生健康委 广电总局 体育总局 国家移民局于2026-03-21公开发布。核心内容：商务部等9部门印发《关于促进旅行服务出口 扩大入境消费的政策措施》的通知 商服贸发2026年第39号 为贯彻落实党中央、国务院决策部署，促进旅行服务出口，扩大入境消费，推动服务贸易和服务消费联动发展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https://www.gov.cn/zhengce/zhengceku/202603/content_7063374.htm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6. 科技部 金融监管总局 工业和信息化部 国家知识产权局印发《关于加快推动科技保险高质量发展 有力支撑高水平科技自立自强的若干意见》的通知。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该文件由科技部 金融监管总局 工业和信息化部 国家知识产权局于2026-03-02公开发布。核心内容：适度提高产品创新包容性，优化科技保险产品备案管理。在人工智能、集成电路、量子科技、生物制造、氢能和核聚变能、脑机接口、具身智能等重点科技和产业发展领域，鼓励开发科技保险专属产品，探索建立专项风险准备金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https://www.gov.cn/zhengce/zhengceku/202603/content_7060189.htm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7. 工业和信息化部等八部门关于印发《中药工业高质量发展实施方案（2026—2030年）》的通知。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工业和信息化部 国家民委 农业农村部 国家卫生健康委 国务院国资委 金融监管总局 国家中医药局 国家药监局于2026-02-05公开发布。核心内容：加快民族药产业现代化转型。鼓励民族药主产区制定民族药产业中长期发展规划和支持政策，统筹推进少数民族医药学理论整理发掘、保护、传承和药用资源的综合利用开发，开展民族药标准提高专项工作。聚焦少数民族医学特色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https://www.gov.cn/zhengce/zhengceku/202602/content_7057174.htm</w:t>
      </w:r>
    </w:p>
    <w:p>
      <w:pPr>
        <w:spacing w:lineRule="exact" w:line="570" w:before="80" w:after="40"/>
        <w:ind w:firstLine="64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32"/>
        </w:rPr>
        <w:t>8. 中华人民共和国药品管理法实施条例。</w:t>
      </w:r>
    </w:p>
    <w:p>
      <w:pPr>
        <w:spacing w:lineRule="exact" w:line="570" w:before="0" w:after="4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该文件由国务院于2026-01-27公开发布。核心内容：进行对比研究。 第十三条 研制中药应当以中医药理论为指导，根据中医药理论、中药人用经验、临床试验数据等综合评价中药的安全性、有效性。评价中药的有效性应当与其临床定位相适应，体现中药的特点。 第十四条</w:t>
      </w:r>
    </w:p>
    <w:p>
      <w:pPr>
        <w:spacing w:lineRule="exact" w:line="570" w:before="0" w:after="120"/>
        <w:ind w:firstLine="64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32"/>
        </w:rPr>
        <w:t>官方原文直达链接：</w:t>
      </w:r>
      <w:r>
        <w:rPr>
          <w:rFonts w:ascii="Times New Roman" w:hAnsi="Times New Roman" w:eastAsia="方正仿宋简体" w:cs="Times New Roman"/>
          <w:b w:val="0"/>
          <w:i w:val="0"/>
          <w:color w:val="0066CC"/>
          <w:sz w:val="32"/>
          <w:u w:val="single"/>
        </w:rPr>
        <w:t>https://www.gov.cn/zhengce/zhengceku/202601/content_7056256.htm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right"/>
    </w:pPr>
    <w:r/>
    <w:r>
      <w:rPr>
        <w:rFonts w:ascii="Times New Roman" w:hAnsi="Times New Roman" w:eastAsia="宋体" w:cs="Times New Roman"/>
        <w:b w:val="0"/>
        <w:i w:val="0"/>
        <w:color w:val="000000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b w:val="0"/>
        <w:i w:val="0"/>
        <w:color w:val="000000"/>
        <w:sz w:val="28"/>
      </w:rPr>
      <w:t>1</w:t>
    </w:r>
    <w: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8"/>
      </w:rPr>
      <w:t xml:space="preserve"> —</w:t>
    </w:r>
    <w:r>
      <w:rPr>
        <w:rFonts w:ascii="Times New Roman" w:hAnsi="Times New Roman" w:eastAsia="宋体" w:cs="Times New Roman"/>
        <w:b w:val="0"/>
        <w:i w:val="0"/>
        <w:color w:val="000000"/>
        <w:sz w:val="28"/>
      </w:rPr>
      <w:t xml:space="preserve">　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left"/>
    </w:pPr>
    <w:r/>
    <w:r>
      <w:rPr>
        <w:rFonts w:ascii="Times New Roman" w:hAnsi="Times New Roman" w:eastAsia="宋体" w:cs="Times New Roman"/>
        <w:b w:val="0"/>
        <w:i w:val="0"/>
        <w:color w:val="000000"/>
        <w:sz w:val="28"/>
      </w:rPr>
      <w:t xml:space="preserve">　</w:t>
    </w:r>
    <w:r>
      <w:rPr>
        <w:rFonts w:ascii="Times New Roman" w:hAnsi="Times New Roman" w:eastAsia="宋体" w:cs="Times New Roman"/>
        <w:b w:val="0"/>
        <w:i w:val="0"/>
        <w:color w:val="000000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b w:val="0"/>
        <w:i w:val="0"/>
        <w:color w:val="000000"/>
        <w:sz w:val="28"/>
      </w:rPr>
      <w:t>2</w:t>
    </w:r>
    <w: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