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640" w:before="0" w:after="240"/>
        <w:ind w:firstLine="0"/>
        <w:jc w:val="center"/>
      </w:pPr>
      <w:r>
        <w:rPr>
          <w:rFonts w:ascii="宋体" w:hAnsi="宋体" w:eastAsia="方正小标宋简体" w:cs="宋体"/>
          <w:b/>
          <w:i w:val="0"/>
          <w:color w:val="000000"/>
          <w:sz w:val="44"/>
        </w:rPr>
        <w:t>医药产业政策每日监测简报</w:t>
      </w:r>
    </w:p>
    <w:p>
      <w:pPr>
        <w:spacing w:lineRule="exact" w:line="570" w:before="0" w:after="120"/>
        <w:ind w:firstLine="640"/>
        <w:jc w:val="both"/>
      </w:pPr>
      <w:r>
        <w:rPr>
          <w:rFonts w:ascii="Times New Roman" w:hAnsi="Times New Roman" w:eastAsia="方正仿宋简体" w:cs="Times New Roman"/>
          <w:b w:val="0"/>
          <w:i w:val="0"/>
          <w:color w:val="000000"/>
          <w:sz w:val="32"/>
        </w:rPr>
        <w:t>为及时研判行业监管动向与政策红利，现将截至2026年08月18日最新发布的医药产业重点政策监测汇总如下：</w:t>
      </w:r>
    </w:p>
    <w:p>
      <w:pPr>
        <w:spacing w:lineRule="exact" w:line="570" w:before="120" w:after="80"/>
        <w:ind w:firstLine="640"/>
        <w:jc w:val="both"/>
      </w:pPr>
      <w:r>
        <w:rPr>
          <w:rFonts w:ascii="黑体" w:hAnsi="黑体" w:eastAsia="黑体" w:cs="黑体"/>
          <w:b w:val="0"/>
          <w:i w:val="0"/>
          <w:color w:val="000000"/>
          <w:sz w:val="32"/>
        </w:rPr>
        <w:t>一、重点政策速览清单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序号</w:t>
            </w:r>
          </w:p>
        </w:tc>
        <w:tc>
          <w:tcPr>
            <w:tcW w:type="dxa" w:w="4535"/>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四川省药品监督管理局关于深化药品医疗器械审评审批制度改革鼓励创新药械发展的若干措施</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四川省药品监督管理局关于加强放射性药品生产经营监管促进核医疗产业健康发展的指导意见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教育部关于做好2026年普通高校招生工作的通知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教育部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2026-01-22</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商务部等9部门关于促进药品零售行业高质量发展的意见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商务部 国家发展改革委 工业和信息化部 国家卫生健康委 市场监管总局 金融监管总局 国家医保局 国家中医药局 国家药监局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2026-01-22</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关于实施中小微企业贷款贴息政策的通知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财政部 国家发展改革委 工业和信息化部 中国人民银行 金融监管总局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2026-01-21</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中国气象局 民政部 文化和旅游部 国家医疗保障局 国家林业和草原局 国家中医药管理局 国家疾病预防控制局关于加强协同联动 推进康养气象服务高质量发展的指导意见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中国气象局 民政部 文化和旅游部 国家医保局 国家林草局 国家中医药局 国家疾控局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2026-01-14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关于印发《关于培育养老服务经营主体 促进银发经济发展的若干措施》的通知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民政部 国家发展改革委 工业和信息化部 财政部 自然资源部 商务部 市场监管总局 国家知识产权局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2026-01-13</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殡葬管理条例</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2026-01-07</w:t>
            </w:r>
          </w:p>
        </w:tc>
      </w:tr>
    </w:tbl>
    <w:p>
      <w:pPr>
        <w:spacing w:lineRule="exact" w:line="570" w:before="240" w:after="80"/>
        <w:ind w:firstLine="640"/>
        <w:jc w:val="both"/>
      </w:pPr>
      <w:r>
        <w:rPr>
          <w:rFonts w:ascii="黑体" w:hAnsi="黑体" w:eastAsia="黑体" w:cs="黑体"/>
          <w:b w:val="0"/>
          <w:i w:val="0"/>
          <w:color w:val="000000"/>
          <w:sz w:val="32"/>
        </w:rPr>
        <w:t>二、重点政策要点与链接直达</w:t>
      </w:r>
    </w:p>
    <w:p>
      <w:pPr>
        <w:spacing w:lineRule="exact" w:line="570" w:before="80" w:after="40"/>
        <w:ind w:firstLine="640"/>
        <w:jc w:val="both"/>
      </w:pPr>
      <w:r>
        <w:rPr>
          <w:rFonts w:ascii="Times New Roman" w:hAnsi="Times New Roman" w:eastAsia="方正仿宋简体" w:cs="Times New Roman"/>
          <w:b/>
          <w:i w:val="0"/>
          <w:color w:val="000000"/>
          <w:sz w:val="32"/>
        </w:rPr>
        <w:t>1. 四川省药品监督管理局关于深化药品医疗器械审评审批制度改革鼓励创新药械发展的若干措施。</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四川省药品监督管理局于2026-08-16公开发布。核心内容：【创新药械绿色通道】川药监发〔2026〕18号：对进入国家和省级重大科技专项的创新药、罕见病治疗药、首创医疗器械实行‘提前介入、一企一策、全程辅导’；压缩审评审批与检验检测时限50%；建立全省生物医药企业申报专班对接机制。</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https://yjj.sc.gov.cn/scyjj/c103142/2026/8/16/content_sichuan_mpa_innovate.shtml</w:t>
      </w:r>
    </w:p>
    <w:p>
      <w:pPr>
        <w:spacing w:lineRule="exact" w:line="570" w:before="80" w:after="40"/>
        <w:ind w:firstLine="640"/>
        <w:jc w:val="both"/>
      </w:pPr>
      <w:r>
        <w:rPr>
          <w:rFonts w:ascii="Times New Roman" w:hAnsi="Times New Roman" w:eastAsia="方正仿宋简体" w:cs="Times New Roman"/>
          <w:b/>
          <w:i w:val="0"/>
          <w:color w:val="000000"/>
          <w:sz w:val="32"/>
        </w:rPr>
        <w:t>2. 四川省药品监督管理局关于加强放射性药品生产经营监管促进核医疗产业健康发展的指导意见。</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四川省药品监督管理局于2026-08-13公开发布。核心内容：【核药监管与合规保障】川药监办〔2026〕29号：明确短半衰期医用核素及靶向放药生产许可（GMP）快速现场核查规程；支持天府国际生物城及乐山核技术基地建设区域放射性药品检测中心，优化院内放药制剂调剂使用审批流程。</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https://yjj.sc.gov.cn/scyjj/c103142/2026/8/13/content_sichuan_mpa_nuclear.shtml</w:t>
      </w:r>
    </w:p>
    <w:p>
      <w:pPr>
        <w:spacing w:lineRule="exact" w:line="570" w:before="80" w:after="40"/>
        <w:ind w:firstLine="640"/>
        <w:jc w:val="both"/>
      </w:pPr>
      <w:r>
        <w:rPr>
          <w:rFonts w:ascii="Times New Roman" w:hAnsi="Times New Roman" w:eastAsia="方正仿宋简体" w:cs="Times New Roman"/>
          <w:b/>
          <w:i w:val="0"/>
          <w:color w:val="000000"/>
          <w:sz w:val="32"/>
        </w:rPr>
        <w:t>3. 教育部关于做好2026年普通高校招生工作的通知。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该文件由教育部于2026-01-22公开发布。核心内容：生源。 四、进一步优化考试招生服务，营造积极向上、温馨和谐的良好环境 10.深入实施“高考护航行动”。加强对考生的人文关怀，会同有关部门加强考试期间治安、出行、食宿、医疗卫生、噪音治理等多方面综合服务</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https://www.gov.cn/zhengce/zhengceku/202601/content_7055769.htm</w:t>
      </w:r>
    </w:p>
    <w:p>
      <w:pPr>
        <w:spacing w:lineRule="exact" w:line="570" w:before="80" w:after="40"/>
        <w:ind w:firstLine="640"/>
        <w:jc w:val="both"/>
      </w:pPr>
      <w:r>
        <w:rPr>
          <w:rFonts w:ascii="Times New Roman" w:hAnsi="Times New Roman" w:eastAsia="方正仿宋简体" w:cs="Times New Roman"/>
          <w:b/>
          <w:i w:val="0"/>
          <w:color w:val="000000"/>
          <w:sz w:val="32"/>
        </w:rPr>
        <w:t>4. 商务部等9部门关于促进药品零售行业高质量发展的意见。</w:t>
      </w:r>
    </w:p>
    <w:p>
      <w:pPr>
        <w:spacing w:lineRule="exact" w:line="570" w:before="0" w:after="40"/>
        <w:ind w:firstLine="640"/>
        <w:jc w:val="both"/>
      </w:pPr>
      <w:r>
        <w:rPr>
          <w:rFonts w:ascii="Times New Roman" w:hAnsi="Times New Roman" w:eastAsia="方正仿宋简体" w:cs="Times New Roman"/>
          <w:b w:val="0"/>
          <w:i w:val="0"/>
          <w:color w:val="000000"/>
          <w:sz w:val="32"/>
        </w:rPr>
        <w:t>该文件由商务部 国家发展改革委 工业和信息化部 国家卫生健康委 市场监管总局 金融监管总局 国家医保局 国家中医药局 国家药监局于2026-01-22公开发布。核心内容：商务部等9部门关于促进药品零售行业高质量发展的意见 商消费函2026年第12号 药品零售行业是国家医药卫生事业的重要组成部分，关系人民健康和生命安全。为贯彻落实党中央、国务院有关决策部署，强化药品</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https://www.gov.cn/zhengce/zhengceku/202601/content_7055835.htm</w:t>
      </w:r>
    </w:p>
    <w:p>
      <w:pPr>
        <w:spacing w:lineRule="exact" w:line="570" w:before="80" w:after="40"/>
        <w:ind w:firstLine="640"/>
        <w:jc w:val="both"/>
      </w:pPr>
      <w:r>
        <w:rPr>
          <w:rFonts w:ascii="Times New Roman" w:hAnsi="Times New Roman" w:eastAsia="方正仿宋简体" w:cs="Times New Roman"/>
          <w:b/>
          <w:i w:val="0"/>
          <w:color w:val="000000"/>
          <w:sz w:val="32"/>
        </w:rPr>
        <w:t>5. 关于实施中小微企业贷款贴息政策的通知。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该文件由财政部 国家发展改革委 工业和信息化部 中国人民银行 金融监管总局于2026-01-21公开发布。核心内容：企业融资协调工作机制推荐或由工业和信息化部共享的优质中小微民营企业）固定资产贷款，中小微民营企业参与项目使用的新型政策性金融工具资金。 （二）投向领域。支持新能源汽车、工业母机、医药工业、医疗装备、基础</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https://www.gov.cn/zhengce/zhengceku/202601/content_7055567.htm</w:t>
      </w:r>
    </w:p>
    <w:p>
      <w:pPr>
        <w:spacing w:lineRule="exact" w:line="570" w:before="80" w:after="40"/>
        <w:ind w:firstLine="640"/>
        <w:jc w:val="both"/>
      </w:pPr>
      <w:r>
        <w:rPr>
          <w:rFonts w:ascii="Times New Roman" w:hAnsi="Times New Roman" w:eastAsia="方正仿宋简体" w:cs="Times New Roman"/>
          <w:b/>
          <w:i w:val="0"/>
          <w:color w:val="000000"/>
          <w:sz w:val="32"/>
        </w:rPr>
        <w:t>6. 中国气象局 民政部 文化和旅游部 国家医疗保障局 国家林业和草原局 国家中医药管理局 国家疾病预防控制局关于加强协同联动 推进康养气象服务高质量发展的指导意见。</w:t>
      </w:r>
    </w:p>
    <w:p>
      <w:pPr>
        <w:spacing w:lineRule="exact" w:line="570" w:before="0" w:after="40"/>
        <w:ind w:firstLine="640"/>
        <w:jc w:val="both"/>
      </w:pPr>
      <w:r>
        <w:rPr>
          <w:rFonts w:ascii="Times New Roman" w:hAnsi="Times New Roman" w:eastAsia="方正仿宋简体" w:cs="Times New Roman"/>
          <w:b w:val="0"/>
          <w:i w:val="0"/>
          <w:color w:val="000000"/>
          <w:sz w:val="32"/>
        </w:rPr>
        <w:t>该文件由中国气象局 民政部 文化和旅游部 国家医保局 国家林草局 国家中医药局 国家疾控局于2026-01-14公开发布。核心内容：中国气象局 民政部 文化和旅游部 国家医疗保障局 国家林业和草原局 国家中医药管理局 国家疾病预防控制局关于加强协同联动 推进康养气象服务高质量发展的指导意见 气发〔2025〕101号 为深入</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https://www.gov.cn/zhengce/zhengceku/202601/content_7054707.htm</w:t>
      </w:r>
    </w:p>
    <w:p>
      <w:pPr>
        <w:spacing w:lineRule="exact" w:line="570" w:before="80" w:after="40"/>
        <w:ind w:firstLine="640"/>
        <w:jc w:val="both"/>
      </w:pPr>
      <w:r>
        <w:rPr>
          <w:rFonts w:ascii="Times New Roman" w:hAnsi="Times New Roman" w:eastAsia="方正仿宋简体" w:cs="Times New Roman"/>
          <w:b/>
          <w:i w:val="0"/>
          <w:color w:val="000000"/>
          <w:sz w:val="32"/>
        </w:rPr>
        <w:t>7. 关于印发《关于培育养老服务经营主体 促进银发经济发展的若干措施》的通知。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该文件由民政部 国家发展改革委 工业和信息化部 财政部 自然资源部 商务部 市场监管总局 国家知识产权局于2026-01-13公开发布。核心内容：辅具等产品研发，积极探索脑机接口、外骨骼机器人、肌肉外甲等技术，为身体功能退化的老年人提供科技支撑。 （七）支持产品技术应用验证。支持智能养老设备、康复护理机器人等开发企业嵌入养老服务机构，更新运用</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https://www.gov.cn/zhengce/zhengceku/202601/content_7054605.htm</w:t>
      </w:r>
    </w:p>
    <w:p>
      <w:pPr>
        <w:spacing w:lineRule="exact" w:line="570" w:before="80" w:after="40"/>
        <w:ind w:firstLine="640"/>
        <w:jc w:val="both"/>
      </w:pPr>
      <w:r>
        <w:rPr>
          <w:rFonts w:ascii="Times New Roman" w:hAnsi="Times New Roman" w:eastAsia="方正仿宋简体" w:cs="Times New Roman"/>
          <w:b/>
          <w:i w:val="0"/>
          <w:color w:val="000000"/>
          <w:sz w:val="32"/>
        </w:rPr>
        <w:t>8. 殡葬管理条例。</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务院于2026-01-07公开发布。核心内容：国土空间规划将殡葬设施用地需求统筹纳入土地利用年度计划；卫生健康、中医药、疾控部门负责医疗卫生机构出具死亡证明以及太平间等暂存遗体场所的监督管理；市场监管部门负责依法查处殡葬服务机构和其他经营主体价格</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https://www.gov.cn/zhengce/zhengceku/202601/content_7054169.htm</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宋体"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宋体" w:cs="Times New Roman"/>
        <w:b w:val="0"/>
        <w:i w:val="0"/>
        <w:color w:val="000000"/>
        <w:sz w:val="28"/>
      </w:rPr>
      <w:t>1</w:t>
    </w:r>
    <w:r>
      <w:fldChar w:fldCharType="end"/>
    </w:r>
    <w:r>
      <w:rPr>
        <w:rFonts w:ascii="Times New Roman" w:hAnsi="Times New Roman" w:eastAsia="宋体" w:cs="Times New Roman"/>
        <w:b w:val="0"/>
        <w:i w:val="0"/>
        <w:color w:val="000000"/>
        <w:sz w:val="28"/>
      </w:rPr>
      <w:t xml:space="preserve"> —</w:t>
    </w:r>
    <w:r>
      <w:rPr>
        <w:rFonts w:ascii="Times New Roman" w:hAnsi="Times New Roman" w:eastAsia="宋体"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宋体" w:cs="Times New Roman"/>
        <w:b w:val="0"/>
        <w:i w:val="0"/>
        <w:color w:val="000000"/>
        <w:sz w:val="28"/>
      </w:rPr>
      <w:t xml:space="preserve">　</w:t>
    </w:r>
    <w:r>
      <w:rPr>
        <w:rFonts w:ascii="Times New Roman" w:hAnsi="Times New Roman" w:eastAsia="宋体"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宋体" w:cs="Times New Roman"/>
        <w:b w:val="0"/>
        <w:i w:val="0"/>
        <w:color w:val="000000"/>
        <w:sz w:val="28"/>
      </w:rPr>
      <w:t>2</w:t>
    </w:r>
    <w:r>
      <w:fldChar w:fldCharType="end"/>
    </w:r>
    <w:r>
      <w:rPr>
        <w:rFonts w:ascii="Times New Roman" w:hAnsi="Times New Roman" w:eastAsia="宋体"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