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640" w:before="0" w:after="240"/>
        <w:ind w:firstLine="0"/>
        <w:jc w:val="center"/>
      </w:pPr>
      <w:r>
        <w:rPr>
          <w:rFonts w:ascii="宋体" w:hAnsi="宋体" w:eastAsia="方正小标宋简体" w:cs="宋体"/>
          <w:b/>
          <w:i w:val="0"/>
          <w:color w:val="000000"/>
          <w:sz w:val="44"/>
        </w:rPr>
        <w:t>医药产业政策每日监测简报</w:t>
      </w:r>
    </w:p>
    <w:p>
      <w:pPr>
        <w:spacing w:lineRule="exact" w:line="570" w:before="0" w:after="120"/>
        <w:ind w:firstLine="640"/>
        <w:jc w:val="both"/>
      </w:pPr>
      <w:r>
        <w:rPr>
          <w:rFonts w:ascii="Times New Roman" w:hAnsi="Times New Roman" w:eastAsia="方正仿宋简体" w:cs="Times New Roman"/>
          <w:b w:val="0"/>
          <w:i w:val="0"/>
          <w:color w:val="000000"/>
          <w:sz w:val="32"/>
        </w:rPr>
        <w:t>为及时研判行业监管动向与政策红利，现将截至2026年08月18日最新发布的医药产业重点政策监测汇总如下：</w:t>
      </w:r>
    </w:p>
    <w:p>
      <w:pPr>
        <w:spacing w:lineRule="exact" w:line="570" w:before="120" w:after="80"/>
        <w:ind w:firstLine="640"/>
        <w:jc w:val="both"/>
      </w:pPr>
      <w:r>
        <w:rPr>
          <w:rFonts w:ascii="黑体" w:hAnsi="黑体" w:eastAsia="黑体" w:cs="黑体"/>
          <w:b w:val="0"/>
          <w:i w:val="0"/>
          <w:color w:val="000000"/>
          <w:sz w:val="32"/>
        </w:rPr>
        <w:t>一、重点政策速览清单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序号</w:t>
            </w:r>
          </w:p>
        </w:tc>
        <w:tc>
          <w:tcPr>
            <w:tcW w:type="dxa" w:w="4535"/>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80" w:after="80"/>
              <w:ind w:firstLine="0"/>
              <w:jc w:val="center"/>
            </w:pPr>
            <w:r/>
            <w:r>
              <w:rPr>
                <w:rFonts w:ascii="黑体" w:hAnsi="黑体" w:eastAsia="黑体" w:cs="黑体"/>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国务院办公厅转发海关总署《关于促进综合保税区扩能提质的若干措施》的通知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2026-04-17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国家卫生健康委关于印发《医院中药饮片管理规范（2026版）》的通知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国家中医药局 国家卫生健康委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2026-04-17</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国务院办公厅关于健全药品价格形成机制的若干意见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国务院关于印发《中国（内蒙古）自由贸易试验区总体方案》的通知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2026-04-09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国务院办公厅印发《关于加快建设分级诊疗体系的若干措施》的通知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国务院办公厅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2026-04-09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6</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关于印发健全社会心理服务体系和危机干预机制实施方案的通知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国家卫生健康委 中央社会工作部 中央政法委 中央网信办 国家发展改革委 教育部 公安部 民政部 司法部 财政部 文化和旅游部 退役军人事务部 应急管理部 国务院国资委 市场监管总局 广电总局 体育总局 国家信访局 国家医保局 国家中医药局 国家疾控局 全国总工会 共青团中央 全国妇联 中国残联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2026-04-09</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7</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国家药监局关于“人工智能+药品监管”的实施意见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2026-04-03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8</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关于开展基层医疗卫生机构医疗质量改善三年行动（2026—2028年）的通知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国家卫生健康委办公厅 国家中医药局综合司</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2026-04-01</w:t>
            </w:r>
          </w:p>
        </w:tc>
      </w:tr>
    </w:tbl>
    <w:p>
      <w:pPr>
        <w:spacing w:lineRule="exact" w:line="570" w:before="240" w:after="80"/>
        <w:ind w:firstLine="640"/>
        <w:jc w:val="both"/>
      </w:pPr>
      <w:r>
        <w:rPr>
          <w:rFonts w:ascii="黑体" w:hAnsi="黑体" w:eastAsia="黑体" w:cs="黑体"/>
          <w:b w:val="0"/>
          <w:i w:val="0"/>
          <w:color w:val="000000"/>
          <w:sz w:val="32"/>
        </w:rPr>
        <w:t>二、重点政策要点与链接直达</w:t>
      </w:r>
    </w:p>
    <w:p>
      <w:pPr>
        <w:spacing w:lineRule="exact" w:line="570" w:before="80" w:after="40"/>
        <w:ind w:firstLine="640"/>
        <w:jc w:val="both"/>
      </w:pPr>
      <w:r>
        <w:rPr>
          <w:rFonts w:ascii="Times New Roman" w:hAnsi="Times New Roman" w:eastAsia="方正仿宋简体" w:cs="Times New Roman"/>
          <w:b/>
          <w:i w:val="0"/>
          <w:color w:val="000000"/>
          <w:sz w:val="32"/>
        </w:rPr>
        <w:t>1. 国务院办公厅转发海关总署《关于促进综合保税区扩能提质的若干措施》的通知。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该文件由国务院办公厅于2026-04-17公开发布。核心内容：区内企业利用进口飞行模拟器、大型医疗器械等免税设备开展培训业务。 （六）强化生物医药科研联动发展。对符合条件的区外生物医药研发企业，试点赋予综合保税区海关注册编码；除法律法规另有规定外，允许区外赋码企业</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https://www.gov.cn/zhengce/zhengceku/202604/content_7066114.htm</w:t>
      </w:r>
    </w:p>
    <w:p>
      <w:pPr>
        <w:spacing w:lineRule="exact" w:line="570" w:before="80" w:after="40"/>
        <w:ind w:firstLine="640"/>
        <w:jc w:val="both"/>
      </w:pPr>
      <w:r>
        <w:rPr>
          <w:rFonts w:ascii="Times New Roman" w:hAnsi="Times New Roman" w:eastAsia="方正仿宋简体" w:cs="Times New Roman"/>
          <w:b/>
          <w:i w:val="0"/>
          <w:color w:val="000000"/>
          <w:sz w:val="32"/>
        </w:rPr>
        <w:t>2. 国家中医药局 国家卫生健康委关于印发《医院中药饮片管理规范（2026版）》的通知。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该文件由国家中医药局 国家卫生健康委于2026-04-17公开发布。核心内容：国家中医药局 国家卫生健康委关于印发《医院中药饮片管理规范（2026版）》的通知 国中医药医政发〔2026〕3号 各省、自治区、直辖市卫生健康委、中医药局，新疆生产建设兵团卫生健康委，中国中医科学院</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https://www.gov.cn/zhengce/zhengceku/202604/content_7066059.htm</w:t>
      </w:r>
    </w:p>
    <w:p>
      <w:pPr>
        <w:spacing w:lineRule="exact" w:line="570" w:before="80" w:after="40"/>
        <w:ind w:firstLine="640"/>
        <w:jc w:val="both"/>
      </w:pPr>
      <w:r>
        <w:rPr>
          <w:rFonts w:ascii="Times New Roman" w:hAnsi="Times New Roman" w:eastAsia="方正仿宋简体" w:cs="Times New Roman"/>
          <w:b/>
          <w:i w:val="0"/>
          <w:color w:val="000000"/>
          <w:sz w:val="32"/>
        </w:rPr>
        <w:t>3. 国务院办公厅关于健全药品价格形成机制的若干意见。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务院办公厅于2026-04-14公开发布。核心内容：政府作用，有效服务药品领域全国统一大市场建设，健全以市场为主导的药品价格形成机制，更好激发市场活力、促进公平竞争、维护市场秩序，突出临床价值和用药可及，支持医药产业高质量发展，保障人民群众获得质优价宜</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https://www.gov.cn/zhengce/zhengceku/202604/content_7065542.htm</w:t>
      </w:r>
    </w:p>
    <w:p>
      <w:pPr>
        <w:spacing w:lineRule="exact" w:line="570" w:before="80" w:after="40"/>
        <w:ind w:firstLine="640"/>
        <w:jc w:val="both"/>
      </w:pPr>
      <w:r>
        <w:rPr>
          <w:rFonts w:ascii="Times New Roman" w:hAnsi="Times New Roman" w:eastAsia="方正仿宋简体" w:cs="Times New Roman"/>
          <w:b/>
          <w:i w:val="0"/>
          <w:color w:val="000000"/>
          <w:sz w:val="32"/>
        </w:rPr>
        <w:t>4. 国务院关于印发《中国（内蒙古）自由贸易试验区总体方案》的通知。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该文件由国务院于2026-04-09公开发布。核心内容：有关法律法规，符合国土空间规划，并符合节约集约用地的有关要求。 （二）功能划分 呼和浩特片区重点发展新能源、新材料、生物医药、新一代信息技术等战略性新兴产业及绿色农畜产品加工、乳业等特色产业，积极培育</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https://www.gov.cn/zhengce/zhengceku/202604/content_7065010.htm</w:t>
      </w:r>
    </w:p>
    <w:p>
      <w:pPr>
        <w:spacing w:lineRule="exact" w:line="570" w:before="80" w:after="40"/>
        <w:ind w:firstLine="640"/>
        <w:jc w:val="both"/>
      </w:pPr>
      <w:r>
        <w:rPr>
          <w:rFonts w:ascii="Times New Roman" w:hAnsi="Times New Roman" w:eastAsia="方正仿宋简体" w:cs="Times New Roman"/>
          <w:b/>
          <w:i w:val="0"/>
          <w:color w:val="000000"/>
          <w:sz w:val="32"/>
        </w:rPr>
        <w:t>5. 国务院办公厅印发《关于加快建设分级诊疗体系的若干措施》的通知。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务院办公厅于2026-04-09公开发布。核心内容：工作方针，按照建立中国特色基本医疗卫生制度、深化医药卫生体制改革要求，以满足群众就近就便看病就医需求为出发点，以实施医疗卫生强基工程为支撑，推进医疗卫生人员、服务下沉和基层能力提升，推动医疗卫生服务资源</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https://www.gov.cn/zhengce/zhengceku/202604/content_7065031.htm</w:t>
      </w:r>
    </w:p>
    <w:p>
      <w:pPr>
        <w:spacing w:lineRule="exact" w:line="570" w:before="80" w:after="40"/>
        <w:ind w:firstLine="640"/>
        <w:jc w:val="both"/>
      </w:pPr>
      <w:r>
        <w:rPr>
          <w:rFonts w:ascii="Times New Roman" w:hAnsi="Times New Roman" w:eastAsia="方正仿宋简体" w:cs="Times New Roman"/>
          <w:b/>
          <w:i w:val="0"/>
          <w:color w:val="000000"/>
          <w:sz w:val="32"/>
        </w:rPr>
        <w:t>6. 关于印发健全社会心理服务体系和危机干预机制实施方案的通知。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该文件由国家卫生健康委 中央社会工作部 中央政法委 中央网信办 国家发展改革委 教育部 公安部 民政部 司法部 财政部 文化和旅游部 退役军人事务部 应急管理部 国务院国资委 市场监管总局 广电总局 体育总局 国家信访局 国家医保局 国家中医药局 国家疾控局 全国总工会 共青团中央 全国妇联 中国残联于2026-04-09公开发布。核心内容：司法部 财政部 文化和旅游部 退役军人事务部 应急管理部 国务院国资委 市场监管总局 广电总局 体育总局 国家信访局 国家医保局 国家中医药局 国家疾控局 全国总工会 共青团中央 全国妇联 中国残联</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https://www.gov.cn/zhengce/zhengceku/202604/content_7065035.htm</w:t>
      </w:r>
    </w:p>
    <w:p>
      <w:pPr>
        <w:spacing w:lineRule="exact" w:line="570" w:before="80" w:after="40"/>
        <w:ind w:firstLine="640"/>
        <w:jc w:val="both"/>
      </w:pPr>
      <w:r>
        <w:rPr>
          <w:rFonts w:ascii="Times New Roman" w:hAnsi="Times New Roman" w:eastAsia="方正仿宋简体" w:cs="Times New Roman"/>
          <w:b/>
          <w:i w:val="0"/>
          <w:color w:val="000000"/>
          <w:sz w:val="32"/>
        </w:rPr>
        <w:t>7. 国家药监局关于“人工智能+药品监管”的实施意见。</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药监局于2026-04-03公开发布。核心内容：人工智能+”行动的意见》《国务院办公厅关于全面深化药品医疗器械监管改革促进医药产业高质量发展的意见》，抢抓人工智能发展重大战略机遇，推进人工智能与药品监管深度融合发展，加快推动药品监管现代化，提出以下</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https://www.gov.cn/zhengce/zhengceku/202604/content_7064591.htm</w:t>
      </w:r>
    </w:p>
    <w:p>
      <w:pPr>
        <w:spacing w:lineRule="exact" w:line="570" w:before="80" w:after="40"/>
        <w:ind w:firstLine="640"/>
        <w:jc w:val="both"/>
      </w:pPr>
      <w:r>
        <w:rPr>
          <w:rFonts w:ascii="Times New Roman" w:hAnsi="Times New Roman" w:eastAsia="方正仿宋简体" w:cs="Times New Roman"/>
          <w:b/>
          <w:i w:val="0"/>
          <w:color w:val="000000"/>
          <w:sz w:val="32"/>
        </w:rPr>
        <w:t>8. 关于开展基层医疗卫生机构医疗质量改善三年行动（2026—2028年）的通知。</w:t>
      </w:r>
    </w:p>
    <w:p>
      <w:pPr>
        <w:spacing w:lineRule="exact" w:line="570" w:before="0" w:after="40"/>
        <w:ind w:firstLine="640"/>
        <w:jc w:val="both"/>
      </w:pPr>
      <w:r>
        <w:rPr>
          <w:rFonts w:ascii="Times New Roman" w:hAnsi="Times New Roman" w:eastAsia="方正仿宋简体" w:cs="Times New Roman"/>
          <w:b w:val="0"/>
          <w:i w:val="0"/>
          <w:color w:val="000000"/>
          <w:sz w:val="32"/>
        </w:rPr>
        <w:t>该文件由国家卫生健康委办公厅 国家中医药局综合司于2026-04-01公开发布。核心内容：关于开展基层医疗卫生机构医疗质量改善三年行动（2026—2028年）的通知 国卫办基层发〔2026〕4号 各省、自治区、直辖市及新疆生产建设兵团卫生健康委、中医药局： 为深入贯彻党的二十大和二十届</w:t>
      </w:r>
    </w:p>
    <w:p>
      <w:pPr>
        <w:spacing w:lineRule="exact" w:line="570" w:before="0" w:after="120"/>
        <w:ind w:firstLine="640"/>
        <w:jc w:val="both"/>
      </w:pPr>
      <w:r>
        <w:rPr>
          <w:rFonts w:ascii="Times New Roman" w:hAnsi="Times New Roman" w:eastAsia="方正仿宋简体" w:cs="Times New Roman"/>
          <w:b w:val="0"/>
          <w:i w:val="0"/>
          <w:color w:val="000000"/>
          <w:sz w:val="32"/>
        </w:rPr>
        <w:t>官方原文直达链接：</w:t>
      </w:r>
      <w:r>
        <w:rPr>
          <w:rFonts w:ascii="Times New Roman" w:hAnsi="Times New Roman" w:eastAsia="方正仿宋简体" w:cs="Times New Roman"/>
          <w:b w:val="0"/>
          <w:i w:val="0"/>
          <w:color w:val="0066CC"/>
          <w:sz w:val="32"/>
          <w:u w:val="single"/>
        </w:rPr>
        <w:t>https://www.gov.cn/zhengce/zhengceku/202604/content_7064456.htm</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1</w:t>
    </w:r>
    <w:r>
      <w:fldChar w:fldCharType="end"/>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宋体" w:cs="Times New Roman"/>
        <w:b w:val="0"/>
        <w:i w:val="0"/>
        <w:color w:val="000000"/>
        <w:sz w:val="28"/>
      </w:rPr>
      <w:t xml:space="preserve">　</w:t>
    </w:r>
    <w:r>
      <w:rPr>
        <w:rFonts w:ascii="Times New Roman" w:hAnsi="Times New Roman" w:eastAsia="宋体"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宋体" w:cs="Times New Roman"/>
        <w:b w:val="0"/>
        <w:i w:val="0"/>
        <w:color w:val="000000"/>
        <w:sz w:val="28"/>
      </w:rPr>
      <w:t>2</w:t>
    </w:r>
    <w:r>
      <w:fldChar w:fldCharType="end"/>
    </w:r>
    <w:r>
      <w:rPr>
        <w:rFonts w:ascii="Times New Roman" w:hAnsi="Times New Roman" w:eastAsia="宋体"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