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为及时研判行业监管动向与政策红利，现将截至2026年09月25日本周最新发布的医药产业重点政策及文件摘要汇总如下：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农业农村部落实中共中央国务院关于进一步深化农村改革扎实推进乡村全面振兴工作部署的实施意见</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2025-02-25</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《农业农村部落实中共中央国务院关于进一步深化农村改革扎实推进乡村全面振兴工作部署的实施意见》（发布机关：农业农村部，发布日期：2025-02-25）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应对气候变化韧性。探索开展“天空地”一体化农情灾情监测。加快建设区域农机社会化服务中心和区域农业应急救灾中心。组织“虫口夺粮”保丰收行动，统筹农作物病虫害监测防控基础设施和人才队伍建设，大力推进统防</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https://www.gov.cn/zhengce/zhengceku/202502/content_7005554.htm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