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为及时研判行业监管动向与政策红利，现将截至2026年08月19日本周最新发布的医药产业重点政策及文件摘要汇总如下：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国家卫生健康委办公厅关于推进手术机器人与高端智能诊疗装备临床应用示范基地建设的通知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2026-08-08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成都市科学技术局关于组织申报2026年成都市科技成果转化产学研医协同创新项目的通知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成都市科学技术局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2026-08-07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人力资源社会保障部等九部门关于扩大新就业形态人员职业伤害保障试点的通知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国家发展改革委 财政部 交通运输部 商务部 国家税务总局 市场监管总局 金融监管总局 全国总工会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2025-07-09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关于全面推进分娩镇痛工作的通知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国家中医药局 国家疾控局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2025-06-06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关于优化基层医疗卫生机构布局建设的指导意见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国家卫生健康委等</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2025-05-02</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工业和信息化部等七部门关于印发《医药工业数智化转型实施方案（2025—2030年）》的通知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工业和信息化部 商务部 国家卫生健康委 国家医保局 国家数据 国家中医药局 国家药监局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2025-04-24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关于印发《安全生产责任保险实施办法》的通知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应急管理部 财政部 金融监管总局 工业和信息化部 住房城乡建设部 交通运输部 农业农村部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2025-04-02</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《国家卫生健康委办公厅关于推进手术机器人与高端智能诊疗装备临床应用示范基地建设的通知》（发布机关：国家卫生健康委，发布日期：2026-08-08）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临床示范与准入】国卫办医政发〔2026〕15号：支持国家区域医疗中心、大型公立三甲医院建立腹腔镜手术机器人、骨科导航机器人临床示范中心；优化手术机器人收费目录编码，加快物价立项与医保准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http://www.nhc.gov.cn/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《成都市科学技术局关于组织申报2026年成都市科技成果转化产学研医协同创新项目的通知》（发布机关：成都市科学技术局，发布日期：2026-08-07）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产学研医资助最高300万】鼓励华西医院、四川大学、电子科大等高校院所与生物医药企业联合申报，围绕核医学、脑机接口、高端医疗器械开展成果就地转化，立项项目给予最高300万元前置经费资助。</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https://cdst.chengdu.gov.cn/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《人力资源社会保障部等九部门关于扩大新就业形态人员职业伤害保障试点的通知》（发布机关：人力资源社会保障部 国家发展改革委 财政部 交通运输部 商务部 国家税务总局 市场监管总局 金融监管总局 全国总工会，发布日期：2025-07-09）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文件主要内容与核心要点：伤害医疗待遇。 治疗职业伤害按照工伤保险诊疗项目目录、工伤保险药品目录、工伤保险住院服务标准执行。新就业形态人员治疗职业伤害应当在签订工伤医疗服务协议的医疗机构就医，情况紧急时可以先到就近的医疗机构急救</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https://www.nmpa.gov.cn/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《关于全面推进分娩镇痛工作的通知》（发布机关：国家卫生健康委 国家中医药局 国家疾控局，发布日期：2025-06-06）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文件主要内容与核心要点：设施建设和设备药品配置，强化分娩镇痛相关专业技术人员培养，为提供分娩镇痛服务打好基础、完善条件。 （二）建立产科与麻醉科协作机制。开展分娩镇痛的医疗机构要加强产科与麻醉科的协作联动，根据产科分娩镇痛</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http://www.nhc.gov.cn/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《关于优化基层医疗卫生机构布局建设的指导意见》（发布机关：国家卫生健康委等，发布日期：2025-05-02）</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文件主要内容与核心要点：关于优化基层医疗卫生机构布局建设的指导意见 国卫基层发〔2025〕2号 各省、自治区、直辖市及新疆生产建设兵团卫生健康委、党委编办、发展改革委、教育厅（局）、民政厅（局）、财政厅（局）、</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http://www.nhc.gov.cn/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《工业和信息化部等七部门关于印发《医药工业数智化转型实施方案（2025—2030年）》的通知》（发布机关：工业和信息化部 商务部 国家卫生健康委 国家医保局 国家数据 国家中医药局 国家药监局，发布日期：2025-04-24）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落实《医药工业高质量发展行动计划（2023—2025年）》《制造业数字化转型行动方案》《关于全面深化药品医疗器械监管改革促进医药产业高质量发展的意见》，深入推进人工智能赋能新型工业化，推动新一代信息技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https://www.nmpa.gov.cn/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《关于印发《安全生产责任保险实施办法》的通知》（发布机关：应急管理部 财政部 金融监管总局 工业和信息化部 住房城乡建设部 交通运输部 农业农村部，发布日期：2025-04-02）</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文件主要内容与核心要点：、医疗救护、事故鉴定、法律诉讼等费用。 第四条 保险机构为高危行业、领域单位承保安责险，应当按照相关规定和合同约定提供事故预防服务。 第五条 规范安责险和道路运输承运人责任险的衔接，优化保险产品设计，</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https://www.nmpa.gov.cn/</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坚持城乡融合发展，锚定推进乡村全面振兴、建设农业强国目标，以改革开放和科技创新为动力，巩固和完善农村基本经营制度，深入学习运用“千万工程”经验，确保国家粮食安全，确保不发生规模性返贫致贫，提升乡村</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https://www.nmpa.gov.cn/</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