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为及时研判行业监管动向与政策红利，现将截至2026年09月22日本周最新发布的医药产业重点政策及文件摘要汇总如下：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北京市科委、中关村管委会、市经信局关于印发《加快北京市脑机接口创新发展行动方案（2025-2030年）》的通知（京科发〔2025〕2号）</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北京市科学技术委员会等</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2025-01-08</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国务院办公厅印发《关于全面深化药品医疗器械监管改革促进医药产业高质量发展的意见》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2025-01-03</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国务院办公厅关于全面深化药品医疗器械监管改革促进医药产业高质量发展的意见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国务院办公厅</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2025-01-03</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《北京市科委、中关村管委会、市经信局关于印发《加快北京市脑机接口创新发展行动方案（2025-2030年）》的通知（京科发〔2025〕2号）》（发布机关：北京市科学技术委员会等，发布日期：2025-01-08）</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省级竞争格局参考】北京部署技术突破、平台打造、集群培育、场景建设、标准创制15项重点任务：2027年培育3-5家潜在独角兽、植入式产品性能达国际领先并初步临床应用；2030年培育100家创新型中小企业、1-2个产业集聚示范区。</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https://www.beijing.gov.cn/zhengce/zhengcefagui/202501/t20250109_3984788.html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《国务院办公厅印发《关于全面深化药品医疗器械监管改革促进医药产业高质量发展的意见》》（发布机关：国务院政策文件库，发布日期：2025-01-03）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文件主要内容与核心要点：国务院办公厅印发《关于全面深化药品医疗器械监管改革促进医药产业高质量发展的意见》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https://www.gov.cn/zhengce/202501/content_6996182.htm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《国务院办公厅关于全面深化药品医疗器械监管改革促进医药产业高质量发展的意见》（发布机关：国务院办公厅，发布日期：2025-01-03）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文件主要内容与核心要点：国务院办公厅关于全面深化药品医疗器械监管改革促进医药产业高质量发展的意见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https://www.gov.cn/zhengce/zhengceku/202501/content_6996117.htm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