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640" w:before="0" w:after="240"/>
        <w:ind w:firstLine="0"/>
        <w:jc w:val="center"/>
      </w:pPr>
      <w:r>
        <w:rPr>
          <w:rFonts w:ascii="宋体" w:hAnsi="宋体" w:eastAsia="方正小标宋简体" w:cs="宋体"/>
          <w:b/>
          <w:i w:val="0"/>
          <w:color w:val="000000"/>
          <w:sz w:val="44"/>
        </w:rPr>
        <w:t>医药产业政策每日监测简报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为及时研判行业监管动向与政策红利，现将截至2026年08月18日最新发布的医药产业重点政策监测汇总如下：</w:t>
      </w:r>
    </w:p>
    <w:p>
      <w:pPr>
        <w:spacing w:lineRule="exact" w:line="570" w:before="120" w:after="80"/>
        <w:ind w:firstLine="640"/>
        <w:jc w:val="both"/>
      </w:pPr>
      <w:r>
        <w:rPr>
          <w:rFonts w:ascii="黑体" w:hAnsi="黑体" w:eastAsia="黑体" w:cs="黑体"/>
          <w:b w:val="0"/>
          <w:i w:val="0"/>
          <w:color w:val="000000"/>
          <w:sz w:val="32"/>
        </w:rPr>
        <w:t>一、重点政策速览清单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80" w:after="80"/>
              <w:ind w:firstLine="0"/>
              <w:jc w:val="center"/>
            </w:pPr>
            <w:r/>
            <w:r>
              <w:rPr>
                <w:rFonts w:ascii="黑体" w:hAnsi="黑体" w:eastAsia="黑体" w:cs="黑体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80" w:after="80"/>
              <w:ind w:firstLine="0"/>
              <w:jc w:val="center"/>
            </w:pPr>
            <w:r/>
            <w:r>
              <w:rPr>
                <w:rFonts w:ascii="黑体" w:hAnsi="黑体" w:eastAsia="黑体" w:cs="黑体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80" w:after="80"/>
              <w:ind w:firstLine="0"/>
              <w:jc w:val="center"/>
            </w:pPr>
            <w:r/>
            <w:r>
              <w:rPr>
                <w:rFonts w:ascii="黑体" w:hAnsi="黑体" w:eastAsia="黑体" w:cs="黑体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80" w:after="80"/>
              <w:ind w:firstLine="0"/>
              <w:jc w:val="center"/>
            </w:pPr>
            <w:r/>
            <w:r>
              <w:rPr>
                <w:rFonts w:ascii="黑体" w:hAnsi="黑体" w:eastAsia="黑体" w:cs="黑体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国务院办公厅关于印发《国务院2026年度立法工作计划》的通知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国务院办公厅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2026-05-11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关于改革完善儿童用药供应保障机制的实施意见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国家卫生健康委 工业和信息化部 金融监管总局 国家知识产权局 国家医保局 国家中医药局 国家疾控局 国家药监局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2026-05-07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 市场监管总局关于印发《服务贸易标准化工作行动计划（2026—2030年）》的通知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商务部 市场监管总局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2026-04-24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国务院办公厅转发海关总署《关于促进综合保税区扩能提质的若干措施》的通知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国务院办公厅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2026-04-17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国家中医药局 国家卫生健康委关于印发《医院中药饮片管理规范（2026版）》的通知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国家中医药局 国家卫生健康委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2026-04-17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国务院办公厅关于健全药品价格形成机制的若干意见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国务院办公厅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2026-04-14</w:t>
            </w:r>
          </w:p>
        </w:tc>
      </w:tr>
    </w:tbl>
    <w:p>
      <w:pPr>
        <w:spacing w:lineRule="exact" w:line="570" w:before="240" w:after="80"/>
        <w:ind w:firstLine="640"/>
        <w:jc w:val="both"/>
      </w:pPr>
      <w:r>
        <w:rPr>
          <w:rFonts w:ascii="黑体" w:hAnsi="黑体" w:eastAsia="黑体" w:cs="黑体"/>
          <w:b w:val="0"/>
          <w:i w:val="0"/>
          <w:color w:val="000000"/>
          <w:sz w:val="32"/>
        </w:rPr>
        <w:t>二、重点政策要点与链接直达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1. 国务院办公厅关于印发《国务院2026年度立法工作计划》的通知。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国务院办公厅于2026-05-11公开发布。核心内容：文化创新创造活力，提请全国人大常委会审议教师法修订草案。制定中医药传统知识保护条例，修订集成电路布图设计保护条例、互联网信息服务管理办法。预备提请全国人大常委会审议航天法草案、广播电视法草案、非物质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https://www.gov.cn/zhengce/zhengceku/202605/content_7068346.htm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2. 关于改革完善儿童用药供应保障机制的实施意见。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该文件由国家卫生健康委 工业和信息化部 金融监管总局 国家知识产权局 国家医保局 国家中医药局 国家疾控局 国家药监局于2026-05-07公开发布。核心内容：关于改革完善儿童用药供应保障机制的实施意见 国卫药政发〔2026〕10号 各省、自治区、直辖市及新疆生产建设兵团卫生健康委、工业和信息化主管部门、金融监管局、知识产权局、医保局、中医药局、疾控局、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https://www.gov.cn/zhengce/zhengceku/202605/content_7068031.htm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3. 商务部 市场监管总局关于印发《服务贸易标准化工作行动计划（2026—2030年）》的通知。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商务部 市场监管总局于2026-04-24公开发布。核心内容：部、住房城乡建设部、交通运输部、农业农村部、文化和旅游部、中国人民银行、市场监管总局，体育总局、国家知识产权局、国家版权局、国家数据局、国家中医药局，各省、自治区、直辖市及计划单列市、新疆生产建设兵团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https://www.gov.cn/zhengce/zhengceku/202604/content_7066807.htm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4. 国务院办公厅转发海关总署《关于促进综合保税区扩能提质的若干措施》的通知。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该文件由国务院办公厅于2026-04-17公开发布。核心内容：区内企业利用进口飞行模拟器、大型医疗器械等免税设备开展培训业务。 （六）强化生物医药科研联动发展。对符合条件的区外生物医药研发企业，试点赋予综合保税区海关注册编码；除法律法规另有规定外，允许区外赋码企业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https://www.gov.cn/zhengce/zhengceku/202604/content_7066114.htm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5. 国家中医药局 国家卫生健康委关于印发《医院中药饮片管理规范（2026版）》的通知。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该文件由国家中医药局 国家卫生健康委于2026-04-17公开发布。核心内容：国家中医药局 国家卫生健康委关于印发《医院中药饮片管理规范（2026版）》的通知 国中医药医政发〔2026〕3号 各省、自治区、直辖市卫生健康委、中医药局，新疆生产建设兵团卫生健康委，中国中医科学院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https://www.gov.cn/zhengce/zhengceku/202604/content_7066059.htm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6. 国务院办公厅关于健全药品价格形成机制的若干意见。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国务院办公厅于2026-04-14公开发布。核心内容：政府作用，有效服务药品领域全国统一大市场建设，健全以市场为主导的药品价格形成机制，更好激发市场活力、促进公平竞争、维护市场秩序，突出临床价值和用药可及，支持医药产业高质量发展，保障人民群众获得质优价宜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https://www.gov.cn/zhengce/zhengceku/202604/content_7065542.htm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