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为及时研判行业监管动向与政策红利，现将截至2026年08月31日本周最新发布的医药产业重点政策及文件摘要汇总如下：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教育部等七部门关于印发《特殊教育发展提升“十五五”行动计划》的通知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教育部 国家发展改革委 民政部 财政部 人力资源社会保障部 国家卫生健康委 中国残联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2026-08-31</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《教育部等七部门关于印发《特殊教育发展提升“十五五”行动计划》的通知》（发布机关：教育部 国家发展改革委 民政部 财政部 人力资源社会保障部 国家卫生健康委 中国残联，发布日期：2026-08-31）</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残疾学生的功能障碍，继续实施辅助器具进校园工程。加强医疗机构、妇幼保健机构、儿童福利机构、康复机构与学校合作，为残疾学生提供教育康复服务。加强学校家庭社会协同育人，引导尊重差异、多元支持，有效防范针对</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https://www.gov.cn/zhengce/zhengceku/202608/content_7079639.htm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