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640" w:before="120" w:after="280"/>
        <w:ind w:firstLine="0"/>
        <w:jc w:val="center"/>
      </w:pPr>
      <w:r>
        <w:rPr>
          <w:rFonts w:ascii="Times New Roman" w:hAnsi="Times New Roman" w:eastAsia="方正小标宋简体" w:cs="Times New Roman"/>
          <w:b/>
          <w:i w:val="0"/>
          <w:color w:val="000000"/>
          <w:sz w:val="44"/>
        </w:rPr>
        <w:t>医药健康产业集团政策监测信息简报</w:t>
      </w:r>
    </w:p>
    <w:p>
      <w:pPr>
        <w:spacing w:lineRule="exact" w:line="570" w:before="0" w:after="120"/>
        <w:ind w:firstLine="640"/>
        <w:jc w:val="both"/>
      </w:pPr>
      <w:r>
        <w:rPr>
          <w:rFonts w:ascii="Times New Roman" w:hAnsi="Times New Roman" w:eastAsia="方正仿宋简体" w:cs="Times New Roman"/>
          <w:b w:val="0"/>
          <w:i w:val="0"/>
          <w:color w:val="000000"/>
          <w:sz w:val="32"/>
        </w:rPr>
        <w:t>为及时研判行业监管动向与政策红利，现将截至2026年08月18日本周最新发布的医药产业重点政策及文件摘要汇总如下：</w:t>
      </w:r>
    </w:p>
    <w:p>
      <w:pPr>
        <w:spacing w:lineRule="exact" w:line="570" w:before="120" w:after="80"/>
        <w:ind w:firstLine="640"/>
        <w:jc w:val="both"/>
      </w:pPr>
      <w:r>
        <w:rPr>
          <w:rFonts w:ascii="Times New Roman" w:hAnsi="Times New Roman" w:eastAsia="黑体" w:cs="Times New Roman"/>
          <w:b w:val="0"/>
          <w:i w:val="0"/>
          <w:color w:val="000000"/>
          <w:sz w:val="32"/>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80" w:after="80"/>
              <w:ind w:firstLine="0"/>
              <w:jc w:val="center"/>
            </w:pPr>
            <w:r/>
            <w:r>
              <w:rPr>
                <w:rFonts w:ascii="Times New Roman" w:hAnsi="Times New Roman" w:eastAsia="黑体" w:cs="Times New Roman"/>
                <w:b/>
                <w:i w:val="0"/>
                <w:color w:val="000000"/>
                <w:sz w:val="28"/>
              </w:rPr>
              <w:t>序号</w:t>
            </w:r>
          </w:p>
        </w:tc>
        <w:tc>
          <w:tcPr>
            <w:tcW w:type="dxa" w:w="4535"/>
            <w:tcBorders>
              <w:top w:val="single" w:sz="12" w:color="000000"/>
              <w:left w:val="none"/>
              <w:bottom w:val="single" w:sz="6" w:color="000000"/>
              <w:right w:val="none"/>
            </w:tcBorders>
          </w:tcPr>
          <w:p>
            <w:pPr>
              <w:spacing w:line="240" w:lineRule="auto" w:before="80" w:after="80"/>
              <w:ind w:firstLine="0"/>
              <w:jc w:val="center"/>
            </w:pPr>
            <w:r/>
            <w:r>
              <w:rPr>
                <w:rFonts w:ascii="Times New Roman" w:hAnsi="Times New Roman" w:eastAsia="黑体" w:cs="Times New Roman"/>
                <w:b/>
                <w:i w:val="0"/>
                <w:color w:val="000000"/>
                <w:sz w:val="28"/>
              </w:rPr>
              <w:t>政策文件名称</w:t>
            </w:r>
          </w:p>
        </w:tc>
        <w:tc>
          <w:tcPr>
            <w:tcW w:type="dxa" w:w="2154"/>
            <w:tcBorders>
              <w:top w:val="single" w:sz="12" w:color="000000"/>
              <w:left w:val="none"/>
              <w:bottom w:val="single" w:sz="6" w:color="000000"/>
              <w:right w:val="none"/>
            </w:tcBorders>
          </w:tcPr>
          <w:p>
            <w:pPr>
              <w:spacing w:line="240" w:lineRule="auto" w:before="80" w:after="80"/>
              <w:ind w:firstLine="0"/>
              <w:jc w:val="center"/>
            </w:pPr>
            <w:r/>
            <w:r>
              <w:rPr>
                <w:rFonts w:ascii="Times New Roman" w:hAnsi="Times New Roman" w:eastAsia="黑体" w:cs="Times New Roman"/>
                <w:b/>
                <w:i w:val="0"/>
                <w:color w:val="000000"/>
                <w:sz w:val="28"/>
              </w:rPr>
              <w:t>发布机关</w:t>
            </w:r>
          </w:p>
        </w:tc>
        <w:tc>
          <w:tcPr>
            <w:tcW w:type="dxa" w:w="1361"/>
            <w:tcBorders>
              <w:top w:val="single" w:sz="12" w:color="000000"/>
              <w:left w:val="none"/>
              <w:bottom w:val="single" w:sz="6" w:color="000000"/>
              <w:right w:val="none"/>
            </w:tcBorders>
          </w:tcPr>
          <w:p>
            <w:pPr>
              <w:spacing w:line="240" w:lineRule="auto" w:before="80" w:after="80"/>
              <w:ind w:firstLine="0"/>
              <w:jc w:val="center"/>
            </w:pPr>
            <w:r/>
            <w:r>
              <w:rPr>
                <w:rFonts w:ascii="Times New Roman" w:hAnsi="Times New Roman" w:eastAsia="黑体" w:cs="Times New Roman"/>
                <w:b/>
                <w:i w:val="0"/>
                <w:color w:val="000000"/>
                <w:sz w:val="28"/>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四川省药品监督管理局关于深化药品医疗器械审评审批制度改革鼓励创新药械发展的若干措施</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四川省药品监督管理局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四川省发展和改革委员会等部门关于印发《四川省支持医用同位素及放射性药物产业高质量发展若干政策实施细则》的通知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四川省发展改革委 省经济和信息化厅</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2026-08-15</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国家药品监督管理局 国家卫生健康委关于印发《放射性药品审评审批工作程序及临床急需通道操作细则》的通知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 国家卫健委</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2026-08-14</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四川省药品监督管理局关于加强放射性药品生产经营监管促进核医疗产业健康发展的指导意见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四川省药品监督管理局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2026-08-13</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四川省科学技术厅关于发布《2026年度重大新药创制与现代中药科技重大专项申报指南》的通知</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四川省科学技术厅</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2026-08-12</w:t>
            </w:r>
          </w:p>
        </w:tc>
      </w:tr>
    </w:tbl>
    <w:p>
      <w:pPr>
        <w:spacing w:lineRule="exact" w:line="570" w:before="240" w:after="80"/>
        <w:ind w:firstLine="640"/>
        <w:jc w:val="both"/>
      </w:pPr>
      <w:r>
        <w:rPr>
          <w:rFonts w:ascii="Times New Roman" w:hAnsi="Times New Roman" w:eastAsia="黑体" w:cs="Times New Roman"/>
          <w:b w:val="0"/>
          <w:i w:val="0"/>
          <w:color w:val="000000"/>
          <w:sz w:val="32"/>
        </w:rPr>
        <w:t>二、本周重点政策要点与文件摘要</w:t>
      </w:r>
    </w:p>
    <w:p>
      <w:pPr>
        <w:spacing w:lineRule="exact" w:line="570" w:before="120" w:after="40"/>
        <w:ind w:firstLine="640"/>
        <w:jc w:val="both"/>
      </w:pPr>
      <w:r>
        <w:rPr>
          <w:rFonts w:ascii="Times New Roman" w:hAnsi="Times New Roman" w:eastAsia="方正仿宋简体" w:cs="Times New Roman"/>
          <w:b/>
          <w:i w:val="0"/>
          <w:color w:val="000000"/>
          <w:sz w:val="32"/>
        </w:rPr>
        <w:t>1. 《四川省药品监督管理局关于深化药品医疗器械审评审批制度改革鼓励创新药械发展的若干措施》。</w:t>
      </w:r>
    </w:p>
    <w:p>
      <w:pPr>
        <w:spacing w:lineRule="exact" w:line="570" w:before="0" w:after="40"/>
        <w:ind w:firstLine="640"/>
        <w:jc w:val="both"/>
      </w:pPr>
      <w:r>
        <w:rPr>
          <w:rFonts w:ascii="Times New Roman" w:hAnsi="Times New Roman" w:eastAsia="方正仿宋简体" w:cs="Times New Roman"/>
          <w:b w:val="0"/>
          <w:i w:val="0"/>
          <w:color w:val="000000"/>
          <w:sz w:val="32"/>
        </w:rPr>
        <w:t>该文件由四川省药品监督管理局于2026-08-16公开发布。文件摘要与核心要点：【创新药械绿色通道】川药监发〔2026〕18号：对进入国家和省级重大科技专项的创新药、罕见病治疗药、首创医疗器械实行‘提前介入、一企一策、全程辅导’；压缩审评审批与检验检测时限50%；建立全省生物医药企业申报专班对接机制。</w:t>
      </w:r>
    </w:p>
    <w:p>
      <w:pPr>
        <w:spacing w:lineRule="exact" w:line="570" w:before="0" w:after="120"/>
        <w:ind w:firstLine="640"/>
        <w:jc w:val="both"/>
      </w:pPr>
      <w:r>
        <w:rPr>
          <w:rFonts w:ascii="Times New Roman" w:hAnsi="Times New Roman" w:eastAsia="方正仿宋简体" w:cs="Times New Roman"/>
          <w:b w:val="0"/>
          <w:i w:val="0"/>
          <w:color w:val="000000"/>
          <w:sz w:val="32"/>
        </w:rPr>
        <w:t>官方原文直达链接：</w:t>
      </w:r>
      <w:r>
        <w:rPr>
          <w:rFonts w:ascii="Times New Roman" w:hAnsi="Times New Roman" w:eastAsia="方正仿宋简体" w:cs="Times New Roman"/>
          <w:b w:val="0"/>
          <w:i w:val="0"/>
          <w:color w:val="004886"/>
          <w:sz w:val="32"/>
          <w:u w:val="single"/>
        </w:rPr>
        <w:t>https://yjj.sc.gov.cn/scyjj/c103142/2026/8/16/content_sichuan_mpa_innovate.shtml</w:t>
      </w:r>
    </w:p>
    <w:p>
      <w:pPr>
        <w:spacing w:lineRule="exact" w:line="570" w:before="120" w:after="40"/>
        <w:ind w:firstLine="640"/>
        <w:jc w:val="both"/>
      </w:pPr>
      <w:r>
        <w:rPr>
          <w:rFonts w:ascii="Times New Roman" w:hAnsi="Times New Roman" w:eastAsia="方正仿宋简体" w:cs="Times New Roman"/>
          <w:b/>
          <w:i w:val="0"/>
          <w:color w:val="000000"/>
          <w:sz w:val="32"/>
        </w:rPr>
        <w:t>2. 《四川省发展和改革委员会等部门关于印发《四川省支持医用同位素及放射性药物产业高质量发展若干政策实施细则》的通知》。</w:t>
      </w:r>
    </w:p>
    <w:p>
      <w:pPr>
        <w:spacing w:lineRule="exact" w:line="570" w:before="0" w:after="40"/>
        <w:ind w:firstLine="640"/>
        <w:jc w:val="both"/>
      </w:pPr>
      <w:r>
        <w:rPr>
          <w:rFonts w:ascii="Times New Roman" w:hAnsi="Times New Roman" w:eastAsia="方正仿宋简体" w:cs="Times New Roman"/>
          <w:b w:val="0"/>
          <w:i w:val="0"/>
          <w:color w:val="000000"/>
          <w:sz w:val="32"/>
        </w:rPr>
        <w:t>该文件由四川省发展改革委 省经济和信息化厅于2026-08-15公开发布。文件摘要与核心要点：【资金奖补最高2000万】重点支持医用核素堆照分离纯化线建设、靶向放射性新药研发及临床试验。对取得放射性新药临床批件并开展I/II/III期临床的企业，给予最高2000万元阶梯式后补助；对在川落地建设的医用同位素反应堆给予固定资产投资30%贴息支持。</w:t>
      </w:r>
    </w:p>
    <w:p>
      <w:pPr>
        <w:spacing w:lineRule="exact" w:line="570" w:before="0" w:after="120"/>
        <w:ind w:firstLine="640"/>
        <w:jc w:val="both"/>
      </w:pPr>
      <w:r>
        <w:rPr>
          <w:rFonts w:ascii="Times New Roman" w:hAnsi="Times New Roman" w:eastAsia="方正仿宋简体" w:cs="Times New Roman"/>
          <w:b w:val="0"/>
          <w:i w:val="0"/>
          <w:color w:val="000000"/>
          <w:sz w:val="32"/>
        </w:rPr>
        <w:t>官方原文直达链接：</w:t>
      </w:r>
      <w:r>
        <w:rPr>
          <w:rFonts w:ascii="Times New Roman" w:hAnsi="Times New Roman" w:eastAsia="方正仿宋简体" w:cs="Times New Roman"/>
          <w:b w:val="0"/>
          <w:i w:val="0"/>
          <w:color w:val="004886"/>
          <w:sz w:val="32"/>
          <w:u w:val="single"/>
        </w:rPr>
        <w:t>https://fgw.sc.gov.cn/sfgw/c106092/2026/8/15/content_sichuan_nuclear_med.shtml</w:t>
      </w:r>
    </w:p>
    <w:p>
      <w:pPr>
        <w:spacing w:lineRule="exact" w:line="570" w:before="120" w:after="40"/>
        <w:ind w:firstLine="640"/>
        <w:jc w:val="both"/>
      </w:pPr>
      <w:r>
        <w:rPr>
          <w:rFonts w:ascii="Times New Roman" w:hAnsi="Times New Roman" w:eastAsia="方正仿宋简体" w:cs="Times New Roman"/>
          <w:b/>
          <w:i w:val="0"/>
          <w:color w:val="000000"/>
          <w:sz w:val="32"/>
        </w:rPr>
        <w:t>3. 《国家药品监督管理局 国家卫生健康委关于印发《放射性药品审评审批工作程序及临床急需通道操作细则》的通知》。</w:t>
      </w:r>
    </w:p>
    <w:p>
      <w:pPr>
        <w:spacing w:lineRule="exact" w:line="570" w:before="0" w:after="40"/>
        <w:ind w:firstLine="640"/>
        <w:jc w:val="both"/>
      </w:pPr>
      <w:r>
        <w:rPr>
          <w:rFonts w:ascii="Times New Roman" w:hAnsi="Times New Roman" w:eastAsia="方正仿宋简体" w:cs="Times New Roman"/>
          <w:b w:val="0"/>
          <w:i w:val="0"/>
          <w:color w:val="000000"/>
          <w:sz w:val="32"/>
        </w:rPr>
        <w:t>该文件由国家药监局 国家卫健委于2026-08-14公开发布。文件摘要与核心要点：【审评绿色通道】国药监综药注〔2026〕48号：针对治疗用放射性药物、医用同位素短半衰期特性，建立60个工作日快速审评审批通道与随到随检机制；明确医疗机构自制放射性制剂区域内调剂使用备案流程。</w:t>
      </w:r>
    </w:p>
    <w:p>
      <w:pPr>
        <w:spacing w:lineRule="exact" w:line="570" w:before="0" w:after="120"/>
        <w:ind w:firstLine="640"/>
        <w:jc w:val="both"/>
      </w:pPr>
      <w:r>
        <w:rPr>
          <w:rFonts w:ascii="Times New Roman" w:hAnsi="Times New Roman" w:eastAsia="方正仿宋简体" w:cs="Times New Roman"/>
          <w:b w:val="0"/>
          <w:i w:val="0"/>
          <w:color w:val="000000"/>
          <w:sz w:val="32"/>
        </w:rPr>
        <w:t>官方原文直达链接：</w:t>
      </w:r>
      <w:r>
        <w:rPr>
          <w:rFonts w:ascii="Times New Roman" w:hAnsi="Times New Roman" w:eastAsia="方正仿宋简体" w:cs="Times New Roman"/>
          <w:b w:val="0"/>
          <w:i w:val="0"/>
          <w:color w:val="004886"/>
          <w:sz w:val="32"/>
          <w:u w:val="single"/>
        </w:rPr>
        <w:t>https://www.nmpa.gov.cn/xxgk/fgwj/gzwj/gzwjyp/20260814163000101.html</w:t>
      </w:r>
    </w:p>
    <w:p>
      <w:pPr>
        <w:spacing w:lineRule="exact" w:line="570" w:before="120" w:after="40"/>
        <w:ind w:firstLine="640"/>
        <w:jc w:val="both"/>
      </w:pPr>
      <w:r>
        <w:rPr>
          <w:rFonts w:ascii="Times New Roman" w:hAnsi="Times New Roman" w:eastAsia="方正仿宋简体" w:cs="Times New Roman"/>
          <w:b/>
          <w:i w:val="0"/>
          <w:color w:val="000000"/>
          <w:sz w:val="32"/>
        </w:rPr>
        <w:t>4. 《四川省药品监督管理局关于加强放射性药品生产经营监管促进核医疗产业健康发展的指导意见》。</w:t>
      </w:r>
    </w:p>
    <w:p>
      <w:pPr>
        <w:spacing w:lineRule="exact" w:line="570" w:before="0" w:after="40"/>
        <w:ind w:firstLine="640"/>
        <w:jc w:val="both"/>
      </w:pPr>
      <w:r>
        <w:rPr>
          <w:rFonts w:ascii="Times New Roman" w:hAnsi="Times New Roman" w:eastAsia="方正仿宋简体" w:cs="Times New Roman"/>
          <w:b w:val="0"/>
          <w:i w:val="0"/>
          <w:color w:val="000000"/>
          <w:sz w:val="32"/>
        </w:rPr>
        <w:t>该文件由四川省药品监督管理局于2026-08-13公开发布。文件摘要与核心要点：【核药监管与合规保障】川药监办〔2026〕29号：明确短半衰期医用核素及靶向放药生产许可（GMP）快速现场核查规程；支持天府国际生物城及乐山核技术基地建设区域放射性药品检测中心，优化院内放药制剂调剂使用审批流程。</w:t>
      </w:r>
    </w:p>
    <w:p>
      <w:pPr>
        <w:spacing w:lineRule="exact" w:line="570" w:before="0" w:after="120"/>
        <w:ind w:firstLine="640"/>
        <w:jc w:val="both"/>
      </w:pPr>
      <w:r>
        <w:rPr>
          <w:rFonts w:ascii="Times New Roman" w:hAnsi="Times New Roman" w:eastAsia="方正仿宋简体" w:cs="Times New Roman"/>
          <w:b w:val="0"/>
          <w:i w:val="0"/>
          <w:color w:val="000000"/>
          <w:sz w:val="32"/>
        </w:rPr>
        <w:t>官方原文直达链接：</w:t>
      </w:r>
      <w:r>
        <w:rPr>
          <w:rFonts w:ascii="Times New Roman" w:hAnsi="Times New Roman" w:eastAsia="方正仿宋简体" w:cs="Times New Roman"/>
          <w:b w:val="0"/>
          <w:i w:val="0"/>
          <w:color w:val="004886"/>
          <w:sz w:val="32"/>
          <w:u w:val="single"/>
        </w:rPr>
        <w:t>https://yjj.sc.gov.cn/scyjj/c103142/2026/8/13/content_sichuan_mpa_nuclear.shtml</w:t>
      </w:r>
    </w:p>
    <w:p>
      <w:pPr>
        <w:spacing w:lineRule="exact" w:line="570" w:before="120" w:after="40"/>
        <w:ind w:firstLine="640"/>
        <w:jc w:val="both"/>
      </w:pPr>
      <w:r>
        <w:rPr>
          <w:rFonts w:ascii="Times New Roman" w:hAnsi="Times New Roman" w:eastAsia="方正仿宋简体" w:cs="Times New Roman"/>
          <w:b/>
          <w:i w:val="0"/>
          <w:color w:val="000000"/>
          <w:sz w:val="32"/>
        </w:rPr>
        <w:t>5. 《四川省科学技术厅关于发布《2026年度重大新药创制与现代中药科技重大专项申报指南》的通知》。</w:t>
      </w:r>
    </w:p>
    <w:p>
      <w:pPr>
        <w:spacing w:lineRule="exact" w:line="570" w:before="0" w:after="40"/>
        <w:ind w:firstLine="640"/>
        <w:jc w:val="both"/>
      </w:pPr>
      <w:r>
        <w:rPr>
          <w:rFonts w:ascii="Times New Roman" w:hAnsi="Times New Roman" w:eastAsia="方正仿宋简体" w:cs="Times New Roman"/>
          <w:b w:val="0"/>
          <w:i w:val="0"/>
          <w:color w:val="000000"/>
          <w:sz w:val="32"/>
        </w:rPr>
        <w:t>该文件由四川省科学技术厅于2026-08-12公开发布。文件摘要与核心要点：【科技专项资助最高1000万】川科农〔2026〕62号：重点支持前沿生物药（ADC、双抗、mRNA）、小分子靶向创新药、现代中药大品种二次开发。设立揭榜挂帅项目，单个项目财政科技资金资助最高1000万元，牵头企业自筹配套比例不低于1:1。</w:t>
      </w:r>
    </w:p>
    <w:p>
      <w:pPr>
        <w:spacing w:lineRule="exact" w:line="570" w:before="0" w:after="120"/>
        <w:ind w:firstLine="640"/>
        <w:jc w:val="both"/>
      </w:pPr>
      <w:r>
        <w:rPr>
          <w:rFonts w:ascii="Times New Roman" w:hAnsi="Times New Roman" w:eastAsia="方正仿宋简体" w:cs="Times New Roman"/>
          <w:b w:val="0"/>
          <w:i w:val="0"/>
          <w:color w:val="000000"/>
          <w:sz w:val="32"/>
        </w:rPr>
        <w:t>官方原文直达链接：</w:t>
      </w:r>
      <w:r>
        <w:rPr>
          <w:rFonts w:ascii="Times New Roman" w:hAnsi="Times New Roman" w:eastAsia="方正仿宋简体" w:cs="Times New Roman"/>
          <w:b w:val="0"/>
          <w:i w:val="0"/>
          <w:color w:val="004886"/>
          <w:sz w:val="32"/>
          <w:u w:val="single"/>
        </w:rPr>
        <w:t>https://kjt.sc.gov.cn/kjt/gstz/20260812/content_sichuan_major_pharma.shtml</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