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为及时研判行业监管动向与政策红利，现将截至2026年08月20日本周最新发布的医药产业重点政策及文件摘要汇总如下：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商务部 国家卫生健康委等12部门关于印发《促进健康消费专项行动方案》的通知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商务部等</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2025-04-07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工业和信息化部等七部门关于印发《医药工业数智化转型实施方案（2025—2030年）》的通知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工业和信息化部 商务部 国家卫生健康委 国家医保局 国家数据 国家中医药局 国家药监局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2025-04-03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关于印发2023年度全国三级公立医院绩效监测分析情况的通报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国家卫生健康委 国家发展改革委 教育部 财政部 人力资源社会保障部 国家医保局 国家中医药局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2025-03-10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关于实施2025年卫生健康系统为民服务实事项目的通知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国家卫生健康委 国家中医药局 国家疾控局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国家卫生健康委办公厅关于印发婴幼儿早期发展服务指南（试行）的通知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2025-02-08</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国家卫生健康委办公厅关于印发婴幼儿营养喂养评估服务指南（试行）的通知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2025-02-08</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《商务部 国家卫生健康委等12部门关于印发《促进健康消费专项行动方案》的通知》（发布机关：商务部等，发布日期：2025-04-07）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优质农产品销售专区、专柜，组织专场销售活动。打击食品非法添加，开展有机食品认证有效性抽查。实施促进营养健康专项行动。强化餐饮营养健康工程建设，引导餐饮企业推广使用食养指南。指导城乡基层医疗卫生机构为</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https://www.gov.cn/zhengce/zhengceku/202504/content_7017828.htm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《工业和信息化部等七部门关于印发《医药工业数智化转型实施方案（2025—2030年）》的通知》（发布机关：工业和信息化部 商务部 国家卫生健康委 国家医保局 国家数据 国家中医药局 国家药监局，发布日期：2025-04-03）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落实《医药工业高质量发展行动计划（2023—2025年）》《制造业数字化转型行动方案》《关于全面深化药品医疗器械监管改革促进医药产业高质量发展的意见》，深入推进人工智能赋能新型工业化，推动新一代信息技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https://www.gov.cn/zhengce/zhengceku/202504/content_7020857.htm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《关于印发2023年度全国三级公立医院绩效监测分析情况的通报》（发布机关：国家卫生健康委 国家发展改革委 教育部 财政部 人力资源社会保障部 国家医保局 国家中医药局，发布日期：2025-03-10）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部门要聚焦党的二十届三中全会作出的全面深化改革总目标，深入贯彻“实施健康优先发展战略”，推动建立完善健康优先发展的规划、投入、治理等政策法规体系。进一步总结和推广以三明为代表的一批典型地区的医改经验。</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https://www.gov.cn/zhengce/zhengceku/202503/content_7016208.htm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《关于实施2025年卫生健康系统为民服务实事项目的通知》（发布机关：国家卫生健康委 国家中医药局 国家疾控局，发布日期：2025-02-13）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文件主要内容与核心要点：综合医院均提供儿科服务。 1.扩大儿科服务供给。各省级卫生健康行政部门要全面梳理辖区内尚未提供儿科服务的二、三级公立综合医院名单，督促指导其按照《医疗机构管理条例》及其实施细则、医疗机构基本标准有关要求设置</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https://www.gov.cn/zhengce/zhengceku/202502/content_7003644.htm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《国家卫生健康委办公厅关于印发婴幼儿早期发展服务指南（试行）的通知》（发布机关：国家卫生健康委，发布日期：2025-02-08）</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文件主要内容与核心要点：各类医疗机构结合实际开展婴幼儿早期发展服务。 （一）养育风险评估与指导。 1.评估与指导时机及频次。根据不同年龄段婴幼儿发育特点，结合0～6岁儿童健康管理服务时间和频次，在婴幼儿满1、3、6、8、12、</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https://www.gov.cn/zhengce/zhengceku/202502/content_7002859.htm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《国家卫生健康委办公厅关于印发婴幼儿营养喂养评估服务指南（试行）的通知》（发布机关：国家卫生健康委，发布日期：2025-02-08）</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文件主要内容与核心要点：其他专业医疗机构。 （二）咨询指导 1.喂养行为咨询指导 针对喂养行为评价中发现的问题，给予养育人针对性咨询指导。帮助养育人充分认识母乳喂养、辅食添加、合理膳食及饮食行为培养的重要性，了解自身在日常</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https://www.gov.cn/zhengce/zhengceku/202502/content_7002872.htm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