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为及时研判行业监管动向与政策红利，现将截至2026年08月25日本周最新发布的医药产业重点政策及文件摘要汇总如下：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国家药监局药审中心关于发布《放射性治疗药物申报上市临床风险管理计划技术指导原则》的通告（2025年第5号）</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国家药监局药审中心（CDE）</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国家药监局综合司关于做好有关改革试点经验推广落实工作的通知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国家药监局综合司</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2025-01-15</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上海市科委关于印发《上海市脑机接口未来产业培育行动方案（2025-2030年）》的通知（沪科〔2025〕5号）</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上海市科学技术委员会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2025-01-10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关于2025年加力扩围实施大规模设备更新和消费品以旧换新政策的通知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国家发展改革委 财政部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2025-01-08</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北京市科委、中关村管委会、市经信局关于印发《加快北京市脑机接口创新发展行动方案（2025-2030年）》的通知（京科发〔2025〕2号）</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北京市科学技术委员会等</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2025-01-08</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国务院办公厅关于全面深化药品医疗器械监管改革促进医药产业高质量发展的意见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国务院办公厅</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2025-01-03</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《国家药监局药审中心关于发布《放射性治疗药物申报上市临床风险管理计划技术指导原则》的通告（2025年第5号）》（发布机关：国家药监局药审中心（CDE），发布日期：2025-01-16）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核药审评技术标准】明确放射性治疗药物（RDC等核药）申报上市时临床风险管理计划的制定要求，自发布之日起施行，是核药企业注册申报的直接依据。（原文见药审中心官网，本链接为中国食品药品网全文转载）</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https://cs.cnpharm.com/c/2025-01-16/1065061.shtml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《国家药监局综合司关于做好有关改革试点经验推广落实工作的通知》（发布机关：国家药监局综合司，发布日期：2025-01-15）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放射性药品许可改革】自2025年1月20日起取消“医疗机构使用放射性药品（一、二类）许可”，医疗机构使用配制的放射性制剂须向省级药监部门申请核发相应等级《放射性药品使用许可证》，配套落实《放射性药品管理办法》修订；同时取消药品批发/零售企业筹建审批。</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https://www.gov.cn/zhengce/zhengceku/202501/content_6998966.htm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《上海市科委关于印发《上海市脑机接口未来产业培育行动方案（2025-2030年）》的通知（沪科〔2025〕5号）》（发布机关：上海市科学技术委员会，发布日期：2025-01-10）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文件主要内容与核心要点：【省级竞争格局参考】上海布局脑机接口未来产业：2027年前实现高质量脑控，侵入式产品完成临床试验；2030年培育2-3家全球影响力企业，打造未来产业集群。</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https://www.shanghai.gov.cn/nw12344/20250110/312238cb2b1248c2898dade518460a30.html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《关于2025年加力扩围实施大规模设备更新和消费品以旧换新政策的通知》（发布机关：国家发展改革委 财政部，发布日期：2025-01-08）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文旅、医疗、老旧电梯等设备更新基础上，将支持范围进一步扩展至电子信息、安全生产、设施农业等领域，重点支持高端化、智能化、绿色化设备应用。鼓励有条件的地方以工业园区、产业集群为载体，整体部署并规模化</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https://www.gov.cn/zhengce/zhengceku/202501/content_6997129.htm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《北京市科委、中关村管委会、市经信局关于印发《加快北京市脑机接口创新发展行动方案（2025-2030年）》的通知（京科发〔2025〕2号）》（发布机关：北京市科学技术委员会等，发布日期：2025-01-08）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省级竞争格局参考】北京部署技术突破、平台打造、集群培育、场景建设、标准创制15项重点任务：2027年培育3-5家潜在独角兽、植入式产品性能达国际领先并初步临床应用；2030年培育100家创新型中小企业、1-2个产业集聚示范区。</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https://www.beijing.gov.cn/zhengce/zhengcefagui/202501/t20250109_3984788.html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《国务院办公厅关于全面深化药品医疗器械监管改革促进医药产业高质量发展的意见》（发布机关：国务院办公厅，发布日期：2025-01-03）</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文件主要内容与核心要点：国务院办公厅关于全面深化药品医疗器械监管改革促进医药产业高质量发展的意见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https://www.gov.cn/zhengce/zhengceku/202501/content_6996117.htm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