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exact" w:line="640" w:before="0" w:after="240"/>
        <w:ind w:firstLine="0"/>
        <w:jc w:val="center"/>
      </w:pPr>
      <w:r>
        <w:rPr>
          <w:rFonts w:ascii="宋体" w:hAnsi="宋体" w:eastAsia="方正小标宋简体" w:cs="宋体"/>
          <w:b/>
          <w:i w:val="0"/>
          <w:color w:val="000000"/>
          <w:sz w:val="44"/>
        </w:rPr>
        <w:t>医药产业政策每日监测简报</w:t>
      </w:r>
    </w:p>
    <w:p>
      <w:pPr>
        <w:spacing w:lineRule="exact" w:line="570" w:before="0" w:after="120"/>
        <w:ind w:firstLine="640"/>
        <w:jc w:val="both"/>
      </w:pPr>
      <w:r>
        <w:rPr>
          <w:rFonts w:ascii="Times New Roman" w:hAnsi="Times New Roman" w:eastAsia="方正仿宋简体" w:cs="Times New Roman"/>
          <w:b w:val="0"/>
          <w:i w:val="0"/>
          <w:color w:val="000000"/>
          <w:sz w:val="32"/>
        </w:rPr>
        <w:t>为及时研判行业监管动向与政策红利，现将截至2026年08月18日最新发布的医药产业重点政策监测汇总如下：</w:t>
      </w:r>
    </w:p>
    <w:p>
      <w:pPr>
        <w:spacing w:lineRule="exact" w:line="570" w:before="120" w:after="80"/>
        <w:ind w:firstLine="640"/>
        <w:jc w:val="both"/>
      </w:pPr>
      <w:r>
        <w:rPr>
          <w:rFonts w:ascii="黑体" w:hAnsi="黑体" w:eastAsia="黑体" w:cs="黑体"/>
          <w:b w:val="0"/>
          <w:i w:val="0"/>
          <w:color w:val="000000"/>
          <w:sz w:val="32"/>
        </w:rPr>
        <w:t>一、重点政策速览清单</w:t>
      </w:r>
    </w:p>
    <w:tbl>
      <w:tblPr>
        <w:tblW w:type="auto" w:w="0"/>
        <w:jc w:val="center"/>
        <w:tblLayout w:type="fixed"/>
        <w:tblLook w:firstColumn="1" w:firstRow="1" w:lastColumn="0" w:lastRow="0" w:noHBand="0" w:noVBand="1" w:val="04A0"/>
      </w:tblPr>
      <w:tblGrid>
        <w:gridCol w:w="2211"/>
        <w:gridCol w:w="2211"/>
        <w:gridCol w:w="2211"/>
        <w:gridCol w:w="2211"/>
      </w:tblGrid>
      <w:tr>
        <w:tc>
          <w:tcPr>
            <w:tcW w:type="dxa" w:w="794"/>
            <w:tcBorders>
              <w:top w:val="single" w:sz="12" w:color="000000"/>
              <w:left w:val="none"/>
              <w:bottom w:val="single" w:sz="6" w:color="000000"/>
              <w:right w:val="none"/>
            </w:tcBorders>
          </w:tcPr>
          <w:p>
            <w:pPr>
              <w:spacing w:line="240" w:lineRule="auto" w:before="80" w:after="80"/>
              <w:ind w:firstLine="0"/>
              <w:jc w:val="center"/>
            </w:pPr>
            <w:r/>
            <w:r>
              <w:rPr>
                <w:rFonts w:ascii="黑体" w:hAnsi="黑体" w:eastAsia="黑体" w:cs="黑体"/>
                <w:b/>
                <w:i w:val="0"/>
                <w:color w:val="000000"/>
                <w:sz w:val="24"/>
              </w:rPr>
              <w:t>序号</w:t>
            </w:r>
          </w:p>
        </w:tc>
        <w:tc>
          <w:tcPr>
            <w:tcW w:type="dxa" w:w="4535"/>
            <w:tcBorders>
              <w:top w:val="single" w:sz="12" w:color="000000"/>
              <w:left w:val="none"/>
              <w:bottom w:val="single" w:sz="6" w:color="000000"/>
              <w:right w:val="none"/>
            </w:tcBorders>
          </w:tcPr>
          <w:p>
            <w:pPr>
              <w:spacing w:line="240" w:lineRule="auto" w:before="80" w:after="80"/>
              <w:ind w:firstLine="0"/>
              <w:jc w:val="center"/>
            </w:pPr>
            <w:r/>
            <w:r>
              <w:rPr>
                <w:rFonts w:ascii="黑体" w:hAnsi="黑体" w:eastAsia="黑体" w:cs="黑体"/>
                <w:b/>
                <w:i w:val="0"/>
                <w:color w:val="000000"/>
                <w:sz w:val="24"/>
              </w:rPr>
              <w:t>政策文件名称</w:t>
            </w:r>
          </w:p>
        </w:tc>
        <w:tc>
          <w:tcPr>
            <w:tcW w:type="dxa" w:w="2154"/>
            <w:tcBorders>
              <w:top w:val="single" w:sz="12" w:color="000000"/>
              <w:left w:val="none"/>
              <w:bottom w:val="single" w:sz="6" w:color="000000"/>
              <w:right w:val="none"/>
            </w:tcBorders>
          </w:tcPr>
          <w:p>
            <w:pPr>
              <w:spacing w:line="240" w:lineRule="auto" w:before="80" w:after="80"/>
              <w:ind w:firstLine="0"/>
              <w:jc w:val="center"/>
            </w:pPr>
            <w:r/>
            <w:r>
              <w:rPr>
                <w:rFonts w:ascii="黑体" w:hAnsi="黑体" w:eastAsia="黑体" w:cs="黑体"/>
                <w:b/>
                <w:i w:val="0"/>
                <w:color w:val="000000"/>
                <w:sz w:val="24"/>
              </w:rPr>
              <w:t>发布机关</w:t>
            </w:r>
          </w:p>
        </w:tc>
        <w:tc>
          <w:tcPr>
            <w:tcW w:type="dxa" w:w="1361"/>
            <w:tcBorders>
              <w:top w:val="single" w:sz="12" w:color="000000"/>
              <w:left w:val="none"/>
              <w:bottom w:val="single" w:sz="6" w:color="000000"/>
              <w:right w:val="none"/>
            </w:tcBorders>
          </w:tcPr>
          <w:p>
            <w:pPr>
              <w:spacing w:line="240" w:lineRule="auto" w:before="80" w:after="80"/>
              <w:ind w:firstLine="0"/>
              <w:jc w:val="center"/>
            </w:pPr>
            <w:r/>
            <w:r>
              <w:rPr>
                <w:rFonts w:ascii="黑体" w:hAnsi="黑体" w:eastAsia="黑体" w:cs="黑体"/>
                <w:b/>
                <w:i w:val="0"/>
                <w:color w:val="000000"/>
                <w:sz w:val="24"/>
              </w:rPr>
              <w:t>发布日期</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1</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国家发展改革委 财政部关于2026年实施大规模设备更新和消费品以旧换新政策的通知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国家发展改革委 财政部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2025-12-30</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关于印发儿童青少年“五健”促进行动计划（2026—2030年）的通知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国家卫生健康委 国家疾控局 中央网信办 国家发展改革委 教育部 财政部 国家广电总局 国家体育总局 国家中医药局 国务院妇儿工委办公室 共青团中央 全国妇联 中国残联</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2025-12-30</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3</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国家金融监督管理总局办公厅关于印发《银行业保险业数字金融高质量发展实施方案》的通知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国家金融监督管理总局办公厅</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2025-12-26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4</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海关总署关于印发《海关支持和服务横琴粤澳深度合作区建设新一轮措施》的通知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海关总署</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2025-12-23</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5</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关于加强基层医疗卫生机构特色科室建设的指导意见</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国家卫生健康委 国家发展改革委 财政部 国家医保局 国家中医药局 国家疾控局</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2025-12-17</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6</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关于印发老年护理服务能力提升行动方案的通知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国家卫生健康委办公厅 国家医保局办公室 国家中医药局综合司 国家疾控局综合司</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2025-12-13</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7</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国家医保局 人力资源社会保障部关于印发《国家基本医疗保险、生育保险和工伤保险药品目录》以及《商业健康保险创新药品目录》（2025年）的通知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国家医保局 人力资源社会保障部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2025-12-07</w:t>
            </w:r>
          </w:p>
        </w:tc>
      </w:tr>
      <w:tr>
        <w:tc>
          <w:tcPr>
            <w:tcW w:type="dxa" w:w="794"/>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8</w:t>
            </w:r>
          </w:p>
        </w:tc>
        <w:tc>
          <w:tcPr>
            <w:tcW w:type="dxa" w:w="4535"/>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国家中医药局 国家卫生健康委关于学习推广三明医改促进中医药传承创新发展经验做法的通知</w:t>
            </w:r>
          </w:p>
        </w:tc>
        <w:tc>
          <w:tcPr>
            <w:tcW w:type="dxa" w:w="2154"/>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国家中医药局 国家卫生健康委</w:t>
            </w:r>
          </w:p>
        </w:tc>
        <w:tc>
          <w:tcPr>
            <w:tcW w:type="dxa" w:w="1361"/>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2025-11-28</w:t>
            </w:r>
          </w:p>
        </w:tc>
      </w:tr>
    </w:tbl>
    <w:p>
      <w:pPr>
        <w:spacing w:lineRule="exact" w:line="570" w:before="240" w:after="80"/>
        <w:ind w:firstLine="640"/>
        <w:jc w:val="both"/>
      </w:pPr>
      <w:r>
        <w:rPr>
          <w:rFonts w:ascii="黑体" w:hAnsi="黑体" w:eastAsia="黑体" w:cs="黑体"/>
          <w:b w:val="0"/>
          <w:i w:val="0"/>
          <w:color w:val="000000"/>
          <w:sz w:val="32"/>
        </w:rPr>
        <w:t>二、重点政策要点与链接直达</w:t>
      </w:r>
    </w:p>
    <w:p>
      <w:pPr>
        <w:spacing w:lineRule="exact" w:line="570" w:before="80" w:after="40"/>
        <w:ind w:firstLine="640"/>
        <w:jc w:val="both"/>
      </w:pPr>
      <w:r>
        <w:rPr>
          <w:rFonts w:ascii="Times New Roman" w:hAnsi="Times New Roman" w:eastAsia="方正仿宋简体" w:cs="Times New Roman"/>
          <w:b/>
          <w:i w:val="0"/>
          <w:color w:val="000000"/>
          <w:sz w:val="32"/>
        </w:rPr>
        <w:t>1. 国家发展改革委 财政部关于2026年实施大规模设备更新和消费品以旧换新政策的通知。</w:t>
      </w:r>
    </w:p>
    <w:p>
      <w:pPr>
        <w:spacing w:lineRule="exact" w:line="570" w:before="0" w:after="40"/>
        <w:ind w:firstLine="640"/>
        <w:jc w:val="both"/>
      </w:pPr>
      <w:r>
        <w:rPr>
          <w:rFonts w:ascii="Times New Roman" w:hAnsi="Times New Roman" w:eastAsia="方正仿宋简体" w:cs="Times New Roman"/>
          <w:b w:val="0"/>
          <w:i w:val="0"/>
          <w:color w:val="000000"/>
          <w:sz w:val="32"/>
        </w:rPr>
        <w:t>该文件由国家发展改革委 财政部于2025-12-30公开发布。核心内容：一、推进大规模设备更新 （一）支持设备更新项目。在继续支持工业、电子信息、能源电力、交通运输、物流、教育、文旅、医疗、设施农业、粮油加工、安全生产、海关查验、住宅老旧电梯、节能降碳环保等领域设备更新</w:t>
      </w:r>
    </w:p>
    <w:p>
      <w:pPr>
        <w:spacing w:lineRule="exact" w:line="570" w:before="0" w:after="120"/>
        <w:ind w:firstLine="640"/>
        <w:jc w:val="both"/>
      </w:pPr>
      <w:r>
        <w:rPr>
          <w:rFonts w:ascii="Times New Roman" w:hAnsi="Times New Roman" w:eastAsia="方正仿宋简体" w:cs="Times New Roman"/>
          <w:b w:val="0"/>
          <w:i w:val="0"/>
          <w:color w:val="000000"/>
          <w:sz w:val="32"/>
        </w:rPr>
        <w:t>官方原文直达链接：</w:t>
      </w:r>
      <w:r>
        <w:rPr>
          <w:rFonts w:ascii="Times New Roman" w:hAnsi="Times New Roman" w:eastAsia="方正仿宋简体" w:cs="Times New Roman"/>
          <w:b w:val="0"/>
          <w:i w:val="0"/>
          <w:color w:val="0066CC"/>
          <w:sz w:val="32"/>
          <w:u w:val="single"/>
        </w:rPr>
        <w:t>https://www.gov.cn/zhengce/zhengceku/202512/content_7053236.htm</w:t>
      </w:r>
    </w:p>
    <w:p>
      <w:pPr>
        <w:spacing w:lineRule="exact" w:line="570" w:before="80" w:after="40"/>
        <w:ind w:firstLine="640"/>
        <w:jc w:val="both"/>
      </w:pPr>
      <w:r>
        <w:rPr>
          <w:rFonts w:ascii="Times New Roman" w:hAnsi="Times New Roman" w:eastAsia="方正仿宋简体" w:cs="Times New Roman"/>
          <w:b/>
          <w:i w:val="0"/>
          <w:color w:val="000000"/>
          <w:sz w:val="32"/>
        </w:rPr>
        <w:t>2. 关于印发儿童青少年“五健”促进行动计划（2026—2030年）的通知。</w:t>
      </w:r>
    </w:p>
    <w:p>
      <w:pPr>
        <w:spacing w:lineRule="exact" w:line="570" w:before="0" w:after="40"/>
        <w:ind w:firstLine="640"/>
        <w:jc w:val="both"/>
      </w:pPr>
      <w:r>
        <w:rPr>
          <w:rFonts w:ascii="Times New Roman" w:hAnsi="Times New Roman" w:eastAsia="方正仿宋简体" w:cs="Times New Roman"/>
          <w:b w:val="0"/>
          <w:i w:val="0"/>
          <w:color w:val="000000"/>
          <w:sz w:val="32"/>
        </w:rPr>
        <w:t>该文件由国家卫生健康委 国家疾控局 中央网信办 国家发展改革委 教育部 财政部 国家广电总局 国家体育总局 国家中医药局 国务院妇儿工委办公室 共青团中央 全国妇联 中国残联于2025-12-30公开发布。核心内容：中小学生国家学生体质健康标准达标优良率达到60%以上。 （2）儿童青少年肥胖得到有效干预。 2.行动内容： （1）加强孕期体重管理。医疗机构将体重管理纳入早孕关爱和孕产期保健服务，充实孕妇学校课程。加强孕期</w:t>
      </w:r>
    </w:p>
    <w:p>
      <w:pPr>
        <w:spacing w:lineRule="exact" w:line="570" w:before="0" w:after="120"/>
        <w:ind w:firstLine="640"/>
        <w:jc w:val="both"/>
      </w:pPr>
      <w:r>
        <w:rPr>
          <w:rFonts w:ascii="Times New Roman" w:hAnsi="Times New Roman" w:eastAsia="方正仿宋简体" w:cs="Times New Roman"/>
          <w:b w:val="0"/>
          <w:i w:val="0"/>
          <w:color w:val="000000"/>
          <w:sz w:val="32"/>
        </w:rPr>
        <w:t>官方原文直达链接：</w:t>
      </w:r>
      <w:r>
        <w:rPr>
          <w:rFonts w:ascii="Times New Roman" w:hAnsi="Times New Roman" w:eastAsia="方正仿宋简体" w:cs="Times New Roman"/>
          <w:b w:val="0"/>
          <w:i w:val="0"/>
          <w:color w:val="0066CC"/>
          <w:sz w:val="32"/>
          <w:u w:val="single"/>
        </w:rPr>
        <w:t>https://www.gov.cn/zhengce/zhengceku/202512/content_7053270.htm</w:t>
      </w:r>
    </w:p>
    <w:p>
      <w:pPr>
        <w:spacing w:lineRule="exact" w:line="570" w:before="80" w:after="40"/>
        <w:ind w:firstLine="640"/>
        <w:jc w:val="both"/>
      </w:pPr>
      <w:r>
        <w:rPr>
          <w:rFonts w:ascii="Times New Roman" w:hAnsi="Times New Roman" w:eastAsia="方正仿宋简体" w:cs="Times New Roman"/>
          <w:b/>
          <w:i w:val="0"/>
          <w:color w:val="000000"/>
          <w:sz w:val="32"/>
        </w:rPr>
        <w:t>3. 国家金融监督管理总局办公厅关于印发《银行业保险业数字金融高质量发展实施方案》的通知。</w:t>
      </w:r>
    </w:p>
    <w:p>
      <w:pPr>
        <w:spacing w:lineRule="exact" w:line="570" w:before="0" w:after="40"/>
        <w:ind w:firstLine="640"/>
        <w:jc w:val="both"/>
      </w:pPr>
      <w:r>
        <w:rPr>
          <w:rFonts w:ascii="Times New Roman" w:hAnsi="Times New Roman" w:eastAsia="方正仿宋简体" w:cs="Times New Roman"/>
          <w:b w:val="0"/>
          <w:i w:val="0"/>
          <w:color w:val="000000"/>
          <w:sz w:val="32"/>
        </w:rPr>
        <w:t>该文件由国家金融监督管理总局办公厅于2025-12-26公开发布。核心内容：的小微企业数字金融生态圈。 9.增强金融服务的人民性。融合城乡居民生活场景，加强大数据分析，在创业就业、教育消费等领域开发便捷灵活、“千人千面”的数字金融产品。推进与医疗卫生、养老服务机构的数据集成</w:t>
      </w:r>
    </w:p>
    <w:p>
      <w:pPr>
        <w:spacing w:lineRule="exact" w:line="570" w:before="0" w:after="120"/>
        <w:ind w:firstLine="640"/>
        <w:jc w:val="both"/>
      </w:pPr>
      <w:r>
        <w:rPr>
          <w:rFonts w:ascii="Times New Roman" w:hAnsi="Times New Roman" w:eastAsia="方正仿宋简体" w:cs="Times New Roman"/>
          <w:b w:val="0"/>
          <w:i w:val="0"/>
          <w:color w:val="000000"/>
          <w:sz w:val="32"/>
        </w:rPr>
        <w:t>官方原文直达链接：</w:t>
      </w:r>
      <w:r>
        <w:rPr>
          <w:rFonts w:ascii="Times New Roman" w:hAnsi="Times New Roman" w:eastAsia="方正仿宋简体" w:cs="Times New Roman"/>
          <w:b w:val="0"/>
          <w:i w:val="0"/>
          <w:color w:val="0066CC"/>
          <w:sz w:val="32"/>
          <w:u w:val="single"/>
        </w:rPr>
        <w:t>https://www.gov.cn/zhengce/zhengceku/202512/content_7052874.htm</w:t>
      </w:r>
    </w:p>
    <w:p>
      <w:pPr>
        <w:spacing w:lineRule="exact" w:line="570" w:before="80" w:after="40"/>
        <w:ind w:firstLine="640"/>
        <w:jc w:val="both"/>
      </w:pPr>
      <w:r>
        <w:rPr>
          <w:rFonts w:ascii="Times New Roman" w:hAnsi="Times New Roman" w:eastAsia="方正仿宋简体" w:cs="Times New Roman"/>
          <w:b/>
          <w:i w:val="0"/>
          <w:color w:val="000000"/>
          <w:sz w:val="32"/>
        </w:rPr>
        <w:t>4. 海关总署关于印发《海关支持和服务横琴粤澳深度合作区建设新一轮措施》的通知。</w:t>
      </w:r>
    </w:p>
    <w:p>
      <w:pPr>
        <w:spacing w:lineRule="exact" w:line="570" w:before="0" w:after="40"/>
        <w:ind w:firstLine="640"/>
        <w:jc w:val="both"/>
      </w:pPr>
      <w:r>
        <w:rPr>
          <w:rFonts w:ascii="Times New Roman" w:hAnsi="Times New Roman" w:eastAsia="方正仿宋简体" w:cs="Times New Roman"/>
          <w:b w:val="0"/>
          <w:i w:val="0"/>
          <w:color w:val="000000"/>
          <w:sz w:val="32"/>
        </w:rPr>
        <w:t>该文件由海关总署于2025-12-23公开发布。核心内容：中药原材料及其加工制成品实施“白名单”管理，支持清单内药品免于办理药材进口批件、药品通关单等进口许可证件，简化其通关流程。支持建立以地方政府为主导、多部门共同参与的联合监管机制，优化进出境特殊物品、</w:t>
      </w:r>
    </w:p>
    <w:p>
      <w:pPr>
        <w:spacing w:lineRule="exact" w:line="570" w:before="0" w:after="120"/>
        <w:ind w:firstLine="640"/>
        <w:jc w:val="both"/>
      </w:pPr>
      <w:r>
        <w:rPr>
          <w:rFonts w:ascii="Times New Roman" w:hAnsi="Times New Roman" w:eastAsia="方正仿宋简体" w:cs="Times New Roman"/>
          <w:b w:val="0"/>
          <w:i w:val="0"/>
          <w:color w:val="000000"/>
          <w:sz w:val="32"/>
        </w:rPr>
        <w:t>官方原文直达链接：</w:t>
      </w:r>
      <w:r>
        <w:rPr>
          <w:rFonts w:ascii="Times New Roman" w:hAnsi="Times New Roman" w:eastAsia="方正仿宋简体" w:cs="Times New Roman"/>
          <w:b w:val="0"/>
          <w:i w:val="0"/>
          <w:color w:val="0066CC"/>
          <w:sz w:val="32"/>
          <w:u w:val="single"/>
        </w:rPr>
        <w:t>https://www.gov.cn/zhengce/zhengceku/202512/content_7052467.htm</w:t>
      </w:r>
    </w:p>
    <w:p>
      <w:pPr>
        <w:spacing w:lineRule="exact" w:line="570" w:before="80" w:after="40"/>
        <w:ind w:firstLine="640"/>
        <w:jc w:val="both"/>
      </w:pPr>
      <w:r>
        <w:rPr>
          <w:rFonts w:ascii="Times New Roman" w:hAnsi="Times New Roman" w:eastAsia="方正仿宋简体" w:cs="Times New Roman"/>
          <w:b/>
          <w:i w:val="0"/>
          <w:color w:val="000000"/>
          <w:sz w:val="32"/>
        </w:rPr>
        <w:t>5. 关于加强基层医疗卫生机构特色科室建设的指导意见。</w:t>
      </w:r>
    </w:p>
    <w:p>
      <w:pPr>
        <w:spacing w:lineRule="exact" w:line="570" w:before="0" w:after="40"/>
        <w:ind w:firstLine="640"/>
        <w:jc w:val="both"/>
      </w:pPr>
      <w:r>
        <w:rPr>
          <w:rFonts w:ascii="Times New Roman" w:hAnsi="Times New Roman" w:eastAsia="方正仿宋简体" w:cs="Times New Roman"/>
          <w:b w:val="0"/>
          <w:i w:val="0"/>
          <w:color w:val="000000"/>
          <w:sz w:val="32"/>
        </w:rPr>
        <w:t>该文件由国家卫生健康委 国家发展改革委 财政部 国家医保局 国家中医药局 国家疾控局于2025-12-17公开发布。核心内容：关于加强基层医疗卫生机构特色科室建设的指导意见 国卫基层发〔2025〕18号 各省、自治区、直辖市及新疆生产建设兵团卫生健康委、发展改革委、财政厅（局）、医保局、中医药局、疾控局： 为深入贯彻</w:t>
      </w:r>
    </w:p>
    <w:p>
      <w:pPr>
        <w:spacing w:lineRule="exact" w:line="570" w:before="0" w:after="120"/>
        <w:ind w:firstLine="640"/>
        <w:jc w:val="both"/>
      </w:pPr>
      <w:r>
        <w:rPr>
          <w:rFonts w:ascii="Times New Roman" w:hAnsi="Times New Roman" w:eastAsia="方正仿宋简体" w:cs="Times New Roman"/>
          <w:b w:val="0"/>
          <w:i w:val="0"/>
          <w:color w:val="000000"/>
          <w:sz w:val="32"/>
        </w:rPr>
        <w:t>官方原文直达链接：</w:t>
      </w:r>
      <w:r>
        <w:rPr>
          <w:rFonts w:ascii="Times New Roman" w:hAnsi="Times New Roman" w:eastAsia="方正仿宋简体" w:cs="Times New Roman"/>
          <w:b w:val="0"/>
          <w:i w:val="0"/>
          <w:color w:val="0066CC"/>
          <w:sz w:val="32"/>
          <w:u w:val="single"/>
        </w:rPr>
        <w:t>https://www.gov.cn/zhengce/zhengceku/202512/content_7052011.htm</w:t>
      </w:r>
    </w:p>
    <w:p>
      <w:pPr>
        <w:spacing w:lineRule="exact" w:line="570" w:before="80" w:after="40"/>
        <w:ind w:firstLine="640"/>
        <w:jc w:val="both"/>
      </w:pPr>
      <w:r>
        <w:rPr>
          <w:rFonts w:ascii="Times New Roman" w:hAnsi="Times New Roman" w:eastAsia="方正仿宋简体" w:cs="Times New Roman"/>
          <w:b/>
          <w:i w:val="0"/>
          <w:color w:val="000000"/>
          <w:sz w:val="32"/>
        </w:rPr>
        <w:t>6. 关于印发老年护理服务能力提升行动方案的通知。</w:t>
      </w:r>
    </w:p>
    <w:p>
      <w:pPr>
        <w:spacing w:lineRule="exact" w:line="570" w:before="0" w:after="40"/>
        <w:ind w:firstLine="640"/>
        <w:jc w:val="both"/>
      </w:pPr>
      <w:r>
        <w:rPr>
          <w:rFonts w:ascii="Times New Roman" w:hAnsi="Times New Roman" w:eastAsia="方正仿宋简体" w:cs="Times New Roman"/>
          <w:b w:val="0"/>
          <w:i w:val="0"/>
          <w:color w:val="000000"/>
          <w:sz w:val="32"/>
        </w:rPr>
        <w:t>该文件由国家卫生健康委办公厅 国家医保局办公室 国家中医药局综合司 国家疾控局综合司于2025-12-13公开发布。核心内容：关于印发老年护理服务能力提升行动方案的通知 国卫办医政发〔2025〕32号 各省、自治区、直辖市及新疆生产建设兵团卫生健康委、医保局、中医药局、疾控局： 为深入贯彻实施积极应对人口老龄化国家战略，</w:t>
      </w:r>
    </w:p>
    <w:p>
      <w:pPr>
        <w:spacing w:lineRule="exact" w:line="570" w:before="0" w:after="120"/>
        <w:ind w:firstLine="640"/>
        <w:jc w:val="both"/>
      </w:pPr>
      <w:r>
        <w:rPr>
          <w:rFonts w:ascii="Times New Roman" w:hAnsi="Times New Roman" w:eastAsia="方正仿宋简体" w:cs="Times New Roman"/>
          <w:b w:val="0"/>
          <w:i w:val="0"/>
          <w:color w:val="000000"/>
          <w:sz w:val="32"/>
        </w:rPr>
        <w:t>官方原文直达链接：</w:t>
      </w:r>
      <w:r>
        <w:rPr>
          <w:rFonts w:ascii="Times New Roman" w:hAnsi="Times New Roman" w:eastAsia="方正仿宋简体" w:cs="Times New Roman"/>
          <w:b w:val="0"/>
          <w:i w:val="0"/>
          <w:color w:val="0066CC"/>
          <w:sz w:val="32"/>
          <w:u w:val="single"/>
        </w:rPr>
        <w:t>https://www.gov.cn/zhengce/zhengceku/202512/content_7051098.htm</w:t>
      </w:r>
    </w:p>
    <w:p>
      <w:pPr>
        <w:spacing w:lineRule="exact" w:line="570" w:before="80" w:after="40"/>
        <w:ind w:firstLine="640"/>
        <w:jc w:val="both"/>
      </w:pPr>
      <w:r>
        <w:rPr>
          <w:rFonts w:ascii="Times New Roman" w:hAnsi="Times New Roman" w:eastAsia="方正仿宋简体" w:cs="Times New Roman"/>
          <w:b/>
          <w:i w:val="0"/>
          <w:color w:val="000000"/>
          <w:sz w:val="32"/>
        </w:rPr>
        <w:t>7. 国家医保局 人力资源社会保障部关于印发《国家基本医疗保险、生育保险和工伤保险药品目录》以及《商业健康保险创新药品目录》（2025年）的通知。</w:t>
      </w:r>
    </w:p>
    <w:p>
      <w:pPr>
        <w:spacing w:lineRule="exact" w:line="570" w:before="0" w:after="40"/>
        <w:ind w:firstLine="640"/>
        <w:jc w:val="both"/>
      </w:pPr>
      <w:r>
        <w:rPr>
          <w:rFonts w:ascii="Times New Roman" w:hAnsi="Times New Roman" w:eastAsia="方正仿宋简体" w:cs="Times New Roman"/>
          <w:b w:val="0"/>
          <w:i w:val="0"/>
          <w:color w:val="000000"/>
          <w:sz w:val="32"/>
        </w:rPr>
        <w:t>该文件由国家医保局 人力资源社会保障部于2025-12-07公开发布。核心内容：国家医保局 人力资源社会保障部关于印发《国家基本医疗保险、生育保险和工伤保险药品目录》以及《商业健康保险创新药品目录》（2025年）的通知 医保发〔2025〕33号 各省、自治区、直辖市及</w:t>
      </w:r>
    </w:p>
    <w:p>
      <w:pPr>
        <w:spacing w:lineRule="exact" w:line="570" w:before="0" w:after="120"/>
        <w:ind w:firstLine="640"/>
        <w:jc w:val="both"/>
      </w:pPr>
      <w:r>
        <w:rPr>
          <w:rFonts w:ascii="Times New Roman" w:hAnsi="Times New Roman" w:eastAsia="方正仿宋简体" w:cs="Times New Roman"/>
          <w:b w:val="0"/>
          <w:i w:val="0"/>
          <w:color w:val="000000"/>
          <w:sz w:val="32"/>
        </w:rPr>
        <w:t>官方原文直达链接：</w:t>
      </w:r>
      <w:r>
        <w:rPr>
          <w:rFonts w:ascii="Times New Roman" w:hAnsi="Times New Roman" w:eastAsia="方正仿宋简体" w:cs="Times New Roman"/>
          <w:b w:val="0"/>
          <w:i w:val="0"/>
          <w:color w:val="0066CC"/>
          <w:sz w:val="32"/>
          <w:u w:val="single"/>
        </w:rPr>
        <w:t>https://www.gov.cn/zhengce/zhengceku/202512/content_7050533.htm</w:t>
      </w:r>
    </w:p>
    <w:p>
      <w:pPr>
        <w:spacing w:lineRule="exact" w:line="570" w:before="80" w:after="40"/>
        <w:ind w:firstLine="640"/>
        <w:jc w:val="both"/>
      </w:pPr>
      <w:r>
        <w:rPr>
          <w:rFonts w:ascii="Times New Roman" w:hAnsi="Times New Roman" w:eastAsia="方正仿宋简体" w:cs="Times New Roman"/>
          <w:b/>
          <w:i w:val="0"/>
          <w:color w:val="000000"/>
          <w:sz w:val="32"/>
        </w:rPr>
        <w:t>8. 国家中医药局 国家卫生健康委关于学习推广三明医改促进中医药传承创新发展经验做法的通知。</w:t>
      </w:r>
    </w:p>
    <w:p>
      <w:pPr>
        <w:spacing w:lineRule="exact" w:line="570" w:before="0" w:after="40"/>
        <w:ind w:firstLine="640"/>
        <w:jc w:val="both"/>
      </w:pPr>
      <w:r>
        <w:rPr>
          <w:rFonts w:ascii="Times New Roman" w:hAnsi="Times New Roman" w:eastAsia="方正仿宋简体" w:cs="Times New Roman"/>
          <w:b w:val="0"/>
          <w:i w:val="0"/>
          <w:color w:val="000000"/>
          <w:sz w:val="32"/>
        </w:rPr>
        <w:t>该文件由国家中医药局 国家卫生健康委于2025-11-28公开发布。核心内容：国家中医药局 国家卫生健康委关于学习推广三明医改促进中医药传承创新发展经验做法的通知 国中医药结合函〔2025〕272号 各省、自治区、直辖市卫生健康委、中医药局，新疆生产建设兵团卫生健康委： 为</w:t>
      </w:r>
    </w:p>
    <w:p>
      <w:pPr>
        <w:spacing w:lineRule="exact" w:line="570" w:before="0" w:after="120"/>
        <w:ind w:firstLine="640"/>
        <w:jc w:val="both"/>
      </w:pPr>
      <w:r>
        <w:rPr>
          <w:rFonts w:ascii="Times New Roman" w:hAnsi="Times New Roman" w:eastAsia="方正仿宋简体" w:cs="Times New Roman"/>
          <w:b w:val="0"/>
          <w:i w:val="0"/>
          <w:color w:val="000000"/>
          <w:sz w:val="32"/>
        </w:rPr>
        <w:t>官方原文直达链接：</w:t>
      </w:r>
      <w:r>
        <w:rPr>
          <w:rFonts w:ascii="Times New Roman" w:hAnsi="Times New Roman" w:eastAsia="方正仿宋简体" w:cs="Times New Roman"/>
          <w:b w:val="0"/>
          <w:i w:val="0"/>
          <w:color w:val="0066CC"/>
          <w:sz w:val="32"/>
          <w:u w:val="single"/>
        </w:rPr>
        <w:t>https://www.gov.cn/zhengce/zhengceku/202511/content_7049845.htm</w:t>
      </w:r>
    </w:p>
    <w:sectPr w:rsidR="00FC693F" w:rsidRPr="0006063C" w:rsidSect="00034616">
      <w:footerReference w:type="default" r:id="rId9"/>
      <w:footerReference w:type="even" r:id="rId10"/>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
      <w:rPr>
        <w:rFonts w:ascii="Times New Roman" w:hAnsi="Times New Roman" w:eastAsia="宋体"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宋体" w:cs="Times New Roman"/>
        <w:b w:val="0"/>
        <w:i w:val="0"/>
        <w:color w:val="000000"/>
        <w:sz w:val="28"/>
      </w:rPr>
      <w:t>1</w:t>
    </w:r>
    <w:r>
      <w:fldChar w:fldCharType="end"/>
    </w:r>
    <w:r>
      <w:rPr>
        <w:rFonts w:ascii="Times New Roman" w:hAnsi="Times New Roman" w:eastAsia="宋体" w:cs="Times New Roman"/>
        <w:b w:val="0"/>
        <w:i w:val="0"/>
        <w:color w:val="000000"/>
        <w:sz w:val="28"/>
      </w:rPr>
      <w:t xml:space="preserve"> —</w:t>
    </w:r>
    <w:r>
      <w:rPr>
        <w:rFonts w:ascii="Times New Roman" w:hAnsi="Times New Roman" w:eastAsia="宋体" w:cs="Times New Roman"/>
        <w:b w:val="0"/>
        <w:i w:val="0"/>
        <w:color w:val="000000"/>
        <w:sz w:val="2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left"/>
    </w:pPr>
    <w:r/>
    <w:r>
      <w:rPr>
        <w:rFonts w:ascii="Times New Roman" w:hAnsi="Times New Roman" w:eastAsia="宋体" w:cs="Times New Roman"/>
        <w:b w:val="0"/>
        <w:i w:val="0"/>
        <w:color w:val="000000"/>
        <w:sz w:val="28"/>
      </w:rPr>
      <w:t xml:space="preserve">　</w:t>
    </w:r>
    <w:r>
      <w:rPr>
        <w:rFonts w:ascii="Times New Roman" w:hAnsi="Times New Roman" w:eastAsia="宋体"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宋体" w:cs="Times New Roman"/>
        <w:b w:val="0"/>
        <w:i w:val="0"/>
        <w:color w:val="000000"/>
        <w:sz w:val="28"/>
      </w:rPr>
      <w:t>2</w:t>
    </w:r>
    <w:r>
      <w:fldChar w:fldCharType="end"/>
    </w:r>
    <w:r>
      <w:rPr>
        <w:rFonts w:ascii="Times New Roman" w:hAnsi="Times New Roman" w:eastAsia="宋体" w:cs="Times New Roman"/>
        <w:b w:val="0"/>
        <w:i w:val="0"/>
        <w:color w:val="00000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