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为及时研判行业监管动向与政策红利，现将截至2026年10月13日本周最新发布的医药产业重点政策及文件摘要汇总如下：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国家铁路局关于印发《铁路科技创新“十五五”规划》的通知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国家铁路局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2026-10-13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《国家铁路局关于印发《铁路科技创新“十五五”规划》的通知》（发布机关：国家铁路局，发布日期：2026-10-13）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文件主要内容与核心要点：技术研究。研制高原医疗保障车。 推动绿色智能装备升级。研发大功率、低能耗混合动力机车和更加高效智能的重载铁路装备，构建面向国际市场的技术标准体系。研制新一代货车、时速120～200公里系列货运装备和</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https://www.gov.cn/zhengce/zhengceku/202610/content_7083092.htm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