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640" w:before="0" w:after="240"/>
        <w:ind w:firstLine="0"/>
        <w:jc w:val="center"/>
      </w:pPr>
      <w:r>
        <w:rPr>
          <w:rFonts w:ascii="宋体" w:hAnsi="宋体" w:eastAsia="方正小标宋简体" w:cs="宋体"/>
          <w:b/>
          <w:i w:val="0"/>
          <w:color w:val="000000"/>
          <w:sz w:val="44"/>
        </w:rPr>
        <w:t>医药产业政策每日监测简报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为及时研判行业监管动向与政策红利，现将截至2026年08月18日最新发布的医药产业重点政策监测汇总如下：</w:t>
      </w:r>
    </w:p>
    <w:p>
      <w:pPr>
        <w:spacing w:lineRule="exact" w:line="570" w:before="120" w:after="80"/>
        <w:ind w:firstLine="640"/>
        <w:jc w:val="both"/>
      </w:pPr>
      <w:r>
        <w:rPr>
          <w:rFonts w:ascii="黑体" w:hAnsi="黑体" w:eastAsia="黑体" w:cs="黑体"/>
          <w:b w:val="0"/>
          <w:i w:val="0"/>
          <w:color w:val="000000"/>
          <w:sz w:val="32"/>
        </w:rPr>
        <w:t>一、重点政策速览清单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80" w:after="80"/>
              <w:ind w:firstLine="0"/>
              <w:jc w:val="center"/>
            </w:pPr>
            <w:r/>
            <w:r>
              <w:rPr>
                <w:rFonts w:ascii="黑体" w:hAnsi="黑体" w:eastAsia="黑体" w:cs="黑体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80" w:after="80"/>
              <w:ind w:firstLine="0"/>
              <w:jc w:val="center"/>
            </w:pPr>
            <w:r/>
            <w:r>
              <w:rPr>
                <w:rFonts w:ascii="黑体" w:hAnsi="黑体" w:eastAsia="黑体" w:cs="黑体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80" w:after="80"/>
              <w:ind w:firstLine="0"/>
              <w:jc w:val="center"/>
            </w:pPr>
            <w:r/>
            <w:r>
              <w:rPr>
                <w:rFonts w:ascii="黑体" w:hAnsi="黑体" w:eastAsia="黑体" w:cs="黑体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80" w:after="80"/>
              <w:ind w:firstLine="0"/>
              <w:jc w:val="center"/>
            </w:pPr>
            <w:r/>
            <w:r>
              <w:rPr>
                <w:rFonts w:ascii="黑体" w:hAnsi="黑体" w:eastAsia="黑体" w:cs="黑体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体育总局关于印发《关于推动运动促进健康事业高质量发展的指导意见》的通知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体育总局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2025-09-22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商务部等9部门关于加力推动城市一刻钟便民生活圈建设扩围升级的通知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 民政部 人力资源社会保障部 自然资源部 住房城乡建设部 文化和旅游部 国家卫生健康委 市场监管总局 体育总局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2025-09-19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国务院关于《医疗卫生强基工程实施方案》的批复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2025-09-10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国务院关于《中国（江苏）自由贸易试验区生物医药全产业链开放创新发展方案》的批复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2025-08-21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市场监管总局 国家卫生健康委 国家中医药局关于发布《医疗广告认定指南》的公告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市场监管总局 国家卫生健康委 国家中医药局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2025-08-13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司法部办公厅 国家发展改革委办公厅 全国工商联办公厅印发《关于进一步发挥行政复议监督职能 规范涉企行政执法的指导意见》《行政复议监督规范涉企行政执法典型案例》的通知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司法部办公厅 国家发展改革委办公厅 全国工商联办公厅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2025-08-07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七部门关于推动脑机接口产业创新发展的实施意见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工业和信息化部 国家发展改革委 教育部 国家卫生健康委 国务院国资委 中国科学院 国家药监局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2025-08-07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关于印发《健康中国行动—健康环境促进行动实施方案（2025—2030年）》的通知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国家疾控局等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2025-08-05</w:t>
            </w:r>
          </w:p>
        </w:tc>
      </w:tr>
    </w:tbl>
    <w:p>
      <w:pPr>
        <w:spacing w:lineRule="exact" w:line="570" w:before="240" w:after="80"/>
        <w:ind w:firstLine="640"/>
        <w:jc w:val="both"/>
      </w:pPr>
      <w:r>
        <w:rPr>
          <w:rFonts w:ascii="黑体" w:hAnsi="黑体" w:eastAsia="黑体" w:cs="黑体"/>
          <w:b w:val="0"/>
          <w:i w:val="0"/>
          <w:color w:val="000000"/>
          <w:sz w:val="32"/>
        </w:rPr>
        <w:t>二、重点政策要点与链接直达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1. 体育总局关于印发《关于推动运动促进健康事业高质量发展的指导意见》的通知。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该文件由体育总局于2025-09-22公开发布。核心内容：科普内容的创作和推广。在全社会营造 “会健身”“常健身”“爱健身”的浓厚氛围。 （二）创新工作机制，优化运动健康服务 创新运动促进健康工作方式方法，提供全人群、全生命周期的运动健身强体和非医疗运动健康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https://www.gov.cn/zhengce/zhengceku/202509/content_7041734.htm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2. 商务部等9部门关于加力推动城市一刻钟便民生活圈建设扩围升级的通知。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该文件由商务部 民政部 人力资源社会保障部 自然资源部 住房城乡建设部 文化和旅游部 国家卫生健康委 市场监管总局 体育总局于2025-09-19公开发布。核心内容：，对老旧小区、产业园区、城乡结合部、县城社区，有针对性加大推进力度，加强政策、制度、管理、模式创新。推动便民生活圈与养老托育圈、购物服务圈、15分钟健身圈、娱乐文化圈、就业服务圈、健康医疗圈等相融。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https://www.gov.cn/zhengce/zhengceku/202509/content_7041331.htm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3. 国务院关于《医疗卫生强基工程实施方案》的批复。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该文件由国务院于2025-09-10公开发布。核心内容：边境口岸所在县区基层医疗卫生机构全部纳入。扩大探索赋予公共卫生医师处方权试点。 （八）加快中医药在基层使用推广。强化县级中医医院重点科室建设，推动每个县级中医医院至少建成2个中医特色优势专科和1个县域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https://www.gov.cn/zhengce/zhengceku/202509/content_7039981.htm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4. 国务院关于《中国（江苏）自由贸易试验区生物医药全产业链开放创新发展方案》的批复。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该文件由国务院于2025-08-21公开发布。核心内容：国务院关于《中国（江苏）自由贸易试验区 生物医药全产业链开放创新发展方案》的批复 国函〔2025〕80号 江苏省人民政府、商务部： 你们关于《中国（江苏）自由贸易试验区生物医药全产业链开放创新发展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https://www.gov.cn/zhengce/zhengceku/202508/content_7037375.htm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5. 市场监管总局 国家卫生健康委 国家中医药局关于发布《医疗广告认定指南》的公告。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市场监管总局 国家卫生健康委 国家中医药局于2025-08-13公开发布。核心内容：附加与科普宣传内容有关的医疗机构或者医疗服务项目的跳转入口，或者附加科普宣传对应的医疗服务所必需的药品、医疗器械等商品购买链接； （六）存在推介具体医疗机构或者其医疗服务的其他情形。 九、除依据本指南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https://www.gov.cn/zhengce/zhengceku/202508/content_7036390.htm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6. 司法部办公厅 国家发展改革委办公厅 全国工商联办公厅印发《关于进一步发挥行政复议监督职能 规范涉企行政执法的指导意见》《行政复议监督规范涉企行政执法典型案例》的通知。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该文件由司法部办公厅 国家发展改革委办公厅 全国工商联办公厅于2025-08-07公开发布。核心内容：或法定解除情形。经行政复议机构现场调查和听证查明，被申请人为实现行政管理和公共服务目标，通过招商引资奖补政策与申请人协商签订招商引资协议，协议签订后申请人按约建成报废车辆回收项目并投产，被申请人已支付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https://www.gov.cn/zhengce/zhengceku/202508/content_7035623.htm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7. 七部门关于推动脑机接口产业创新发展的实施意见。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该文件由工业和信息化部 国家发展改革委 教育部 国家卫生健康委 国务院国资委 中国科学院 国家药监局于2025-08-07公开发布。核心内容：医疗健康、生活消费等加快应用。产业规模不断壮大，打造2至3个产业发展集聚区，开拓一批新场景、新模式、新业态。 到2030年，脑机接口产业创新能力显著提升，形成安全可靠的产业体系，培育2至3家有全球影响力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https://www.gov.cn/zhengce/zhengceku/202508/content_7035603.htm</w:t>
      </w:r>
    </w:p>
    <w:p>
      <w:pPr>
        <w:spacing w:lineRule="exact" w:line="570" w:before="80" w:after="40"/>
        <w:ind w:firstLine="64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32"/>
        </w:rPr>
        <w:t>8. 关于印发《健康中国行动—健康环境促进行动实施方案（2025—2030年）》的通知。</w:t>
      </w:r>
    </w:p>
    <w:p>
      <w:pPr>
        <w:spacing w:lineRule="exact" w:line="570" w:before="0" w:after="4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该文件由国家疾控局等于2025-08-05公开发布。核心内容：和风险评估综合平台，强化环境危害因素健康风险预警干预。 14.加强环境相关疾病防控能力。完善媒介生物传染病、环境相关的心脑血管疾病、呼吸系统疾病等慢性病的发病预警和健康提示，提升医疗卫生机构气候敏感</w:t>
      </w:r>
    </w:p>
    <w:p>
      <w:pPr>
        <w:spacing w:lineRule="exact" w:line="570" w:before="0" w:after="120"/>
        <w:ind w:firstLine="64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32"/>
        </w:rPr>
        <w:t>官方原文直达链接：</w:t>
      </w:r>
      <w:r>
        <w:rPr>
          <w:rFonts w:ascii="Times New Roman" w:hAnsi="Times New Roman" w:eastAsia="方正仿宋简体" w:cs="Times New Roman"/>
          <w:b w:val="0"/>
          <w:i w:val="0"/>
          <w:color w:val="0066CC"/>
          <w:sz w:val="32"/>
          <w:u w:val="single"/>
        </w:rPr>
        <w:t>https://www.gov.cn/zhengce/zhengceku/202508/content_7035320.htm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宋体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