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Мы же жабаскрипт, у нас такие конструкции заменяются на ctx.strokeStyle = color || this.color; (у нас это бестпрактис)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(color) 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ctx.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strokeStyle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color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ctx.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strokeStyle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this.color = color || ‘#000’;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color ?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color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color :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color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"#000"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зачем тут x и y?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Line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.prototype.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setSelect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function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y) 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select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false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coords = the.getCoord()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var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props =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getCoord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Конструкторы С Большой Буквы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obj =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rect(startX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startY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endX - startX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endY - startY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color)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Волшебные числа. var DELETE_KEYCODE=46;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(event.keyCode ===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46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Если mouseDown = 0 в любом случае, зачем лишний кейс?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(selected) 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mouseDown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mouseDown 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endX = mousePos.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endY = mousePos.</w:t>
      </w:r>
      <w:r w:rsidDel="00000000" w:rsidR="00000000" w:rsidRPr="00000000">
        <w:rPr>
          <w:color w:val="9876aa"/>
          <w:sz w:val="18"/>
          <w:szCs w:val="18"/>
          <w:shd w:fill="2b2b2b" w:val="clear"/>
          <w:rtl w:val="0"/>
        </w:rPr>
        <w:t xml:space="preserve">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(!obj.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isEmpty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()) 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    objects.</w:t>
      </w:r>
      <w:r w:rsidDel="00000000" w:rsidR="00000000" w:rsidRPr="00000000">
        <w:rPr>
          <w:color w:val="ffc66d"/>
          <w:sz w:val="18"/>
          <w:szCs w:val="18"/>
          <w:shd w:fill="2b2b2b" w:val="clear"/>
          <w:rtl w:val="0"/>
        </w:rPr>
        <w:t xml:space="preserve">addObject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(obj)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8) 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