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t>艺本艺术 YiBenArt</w:t>
      </w:r>
    </w:p>
    <w:p>
      <w:pPr>
        <w:spacing w:before="0" w:after="80" w:line="264" w:lineRule="auto"/>
        <w:jc w:val="center"/>
      </w:pPr>
      <w:r>
        <w:rPr>
          <w:rFonts w:ascii="PingFang SC" w:hAnsi="PingFang SC" w:eastAsia="PingFang SC"/>
          <w:b/>
          <w:i w:val="0"/>
          <w:color w:val="000000"/>
          <w:sz w:val="50"/>
        </w:rPr>
        <w:t>融资商业计划书</w:t>
      </w:r>
    </w:p>
    <w:p>
      <w:pPr>
        <w:spacing w:before="0" w:after="280" w:line="264" w:lineRule="auto"/>
        <w:jc w:val="center"/>
      </w:pPr>
      <w:r>
        <w:rPr>
          <w:rFonts w:ascii="PingFang SC" w:hAnsi="PingFang SC" w:eastAsia="PingFang SC"/>
          <w:b w:val="0"/>
          <w:i w:val="0"/>
          <w:color w:val="595959"/>
          <w:sz w:val="27"/>
        </w:rPr>
        <w:t>高端艺术品社交电商平台：连接艺术家、经纪人、收藏家与艺术推广者</w:t>
      </w:r>
    </w:p>
    <w:p>
      <w:pPr>
        <w:spacing w:before="0" w:after="360" w:line="264" w:lineRule="auto"/>
        <w:jc w:val="center"/>
      </w:pPr>
      <w:r>
        <w:rPr>
          <w:rFonts w:ascii="PingFang SC" w:hAnsi="PingFang SC" w:eastAsia="PingFang SC"/>
          <w:b w:val="0"/>
          <w:i w:val="0"/>
          <w:color w:val="595959"/>
          <w:sz w:val="21"/>
        </w:rPr>
        <w:t>版本：融资沟通初稿 | 日期：2026年6月 | 状态：关键经营数据待补充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当前填写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融资轮次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天使轮 / Pre-A 轮（待确认）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计划融资金额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人民币 [X00万-X000万]（待确认）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出让股权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[X%-X%]（待确认）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资金周期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覆盖未来 12-18 个月增长与运营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核心用途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获客增长、艺术家与作品供给、产品技术、运营团队、合规与风控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一句话定位</w:t>
              <w:br/>
              <w:t>艺本艺术是面向高端艺术品交易的社交电商平台，以作品交易为核心，以拍卖、艺荐官分销、艺术圈内容社区形成增长飞轮，帮助艺术家获得线上销售渠道，帮助收藏家更高效地发现、购买和流转艺术作品。</w:t>
            </w:r>
          </w:p>
        </w:tc>
      </w:tr>
    </w:tbl>
    <w:p/>
    <w:p>
      <w:pPr>
        <w:pStyle w:val="Heading1"/>
      </w:pPr>
      <w:r>
        <w:t>1. 执行摘要</w:t>
      </w:r>
    </w:p>
    <w:p>
      <w:pPr>
        <w:spacing w:before="0" w:after="120" w:line="264" w:lineRule="auto"/>
      </w:pPr>
      <w:r>
        <w:t>艺本艺术通过微信小程序、H5、App 与管理后台构建完整交易基础设施，不只完成艺术品流通，还把艺术家持续分成、经纪人分销和作品动态定价放进同一套系统，已形成用户、作品、订单、支付、拍卖、社区、艺荐官分销和管理后台等核心模块。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核心用户：艺术家、经纪人、收藏家、艺术推广者，覆盖供给、撮合、购买和传播四类关键角色。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交易闭环：作品浏览、详情、购物车、下单、微信支付、订单管理、售后、收藏与足迹已具备完整路径。</w:t>
      </w:r>
    </w:p>
    <w:p>
      <w:pPr>
        <w:pStyle w:val="ListBullet"/>
        <w:spacing w:before="0" w:after="80" w:line="280" w:lineRule="auto"/>
      </w:pPr>
      <w:r>
        <w:t>增长闭环：内容社区承接兴趣与信任，经纪人分销体系放大私域传播，拍卖模块提升高客单与稀缺作品交易效率，动态定价机制则持续强化平台的成交效率和价格发现能力。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技术基础：Spring Cloud 微服务、Uni-app 多端、MySQL/Redis/RocketMQ/Nacos 等架构适合后续扩容。</w:t>
      </w:r>
    </w:p>
    <w:p>
      <w:pPr>
        <w:pStyle w:val="Heading1"/>
      </w:pPr>
      <w:r>
        <w:t>2. 融资需求与资金用途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b w:val="0"/>
          <w:i w:val="0"/>
          <w:sz w:val="22"/>
        </w:rPr>
        <w:t>本轮融资建议用于完成从产品可用到规模化验证的跨越，优先验证获客效率、作品供给质量、交易转化率与复购/转介绍模型。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500"/>
        <w:gridCol w:w="52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建议占比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市场增长与渠道投放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35%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围绕收藏家、艺术爱好者和高净值客群进行内容投放、社群运营、活动转化与私域裂变。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艺术家/经纪人供给建设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20%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签约优质艺术家、建立作品审核和定价机制、完善证书与溯源资料。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产品技术与数据能力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20%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优化推荐、搜索、支付、拍卖、风控、履约、后台运营和数据看板。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运营团队与客户服务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15%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搭建招商、策展、用户增长、客服、售后和活动运营团队。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合规、风控与备用金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10%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覆盖分销合规、支付结算、税务、版权/真伪争议处理和现金流缓冲。</w:t>
            </w:r>
          </w:p>
        </w:tc>
      </w:tr>
    </w:tbl>
    <w:p/>
    <w:p>
      <w:pPr>
        <w:pStyle w:val="Heading1"/>
      </w:pPr>
      <w:r>
        <w:t>3. 市场痛点与机会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供给侧：艺术家与经纪人缺少稳定的线上销售阵地，传统画廊获客半径有限。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需求侧：收藏家选品成本高，缺乏可信作品资料、价格参考、艺术家履历和交易保障。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交易侧：高客单艺术品需要更强的信任机制、履约保障、售后处理和可追溯记录。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传播侧：艺术品消费依赖审美认同和社交推荐，单纯货架电商难以完成教育与信任建设。</w:t>
      </w:r>
    </w:p>
    <w:p>
      <w:pPr>
        <w:spacing w:before="0" w:after="120" w:line="264" w:lineRule="auto"/>
      </w:pPr>
      <w:r>
        <w:t>艺本艺术的机会在于把“内容种草、社交推荐、稀缺拍卖、标准交易履约、持续分成和动态涨价”放进同一个产品系统，用更低的获客成本和更高的信任效率完成艺术品交易转化。</w:t>
      </w:r>
    </w:p>
    <w:p>
      <w:pPr>
        <w:pStyle w:val="Heading1"/>
      </w:pPr>
      <w:r>
        <w:t>4. 产品与业务能力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60"/>
        <w:gridCol w:w="380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当前能力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融资后强化方向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用户与认证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微信登录、多身份切换、艺术家/经纪人认证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完善实名、资质、保证金、信用评级和机构账号体系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作品交易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作品列表、分类、搜索筛选、详情、收藏、购物车、订单、微信支付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提升作品资料标准、证书、溯源、推荐和转化漏斗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拍卖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专场、拍品、保证金、实时竞价、我的竞拍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引入策展专场、预约提醒、竞价风控和成交后服务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艺荐官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二级分销、团队、佣金、提现、推广素材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强化合规边界、内容素材、私域增长工具和业绩看板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艺术圈社区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动态、话题、评论、点赞、关注与推荐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打造艺术家内容阵地、收藏家社区和活动运营机制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管理后台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运营管理能力已具备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招商 / 审核 / 订单 / 风控 / 数据看板</w:t>
            </w:r>
          </w:p>
        </w:tc>
      </w:tr>
    </w:tbl>
    <w:p/>
    <w:p>
      <w:pPr>
        <w:pStyle w:val="Heading1"/>
      </w:pPr>
      <w:r>
        <w:t>5. 商业模式</w:t>
      </w:r>
    </w:p>
    <w:p>
      <w:pPr>
        <w:pStyle w:val="ListBullet"/>
        <w:spacing w:before="0" w:after="80" w:line="280" w:lineRule="auto"/>
      </w:pPr>
      <w:r>
        <w:t>交易分成：艺术家的作品每次在平台成交，艺术家都可获得 2%-5% 的持续回报，让艺术收入从一次性售卖变成长期收益。</w:t>
      </w:r>
    </w:p>
    <w:p>
      <w:pPr>
        <w:pStyle w:val="ListBullet"/>
        <w:spacing w:before="0" w:after="80" w:line="280" w:lineRule="auto"/>
      </w:pPr>
      <w:r>
        <w:t>经纪人分销：平台支持数以千计的经纪人参与推广，单个经纪人分享艺术家作品后，可获得 10%-15% 的经纪人佣金。</w:t>
      </w:r>
    </w:p>
    <w:p>
      <w:pPr>
        <w:pStyle w:val="ListBullet"/>
        <w:spacing w:before="0" w:after="80" w:line="280" w:lineRule="auto"/>
      </w:pPr>
      <w:r>
        <w:t>动态定价：平台根据艺术家的工作年限、作品质量提升、市场热度等因素，对作品价格进行实时调整，帮助作品建立更清晰的价格发现机制。</w:t>
      </w:r>
    </w:p>
    <w:p>
      <w:pPr>
        <w:pStyle w:val="ListBullet"/>
        <w:spacing w:before="0" w:after="80" w:line="280" w:lineRule="auto"/>
      </w:pPr>
      <w:r>
        <w:t>拍卖服务费：对专场策展、保证金、成交服务和买卖双方佣金建立标准化收费。</w:t>
      </w:r>
    </w:p>
    <w:p>
      <w:pPr>
        <w:pStyle w:val="ListBullet"/>
        <w:spacing w:before="0" w:after="80" w:line="280" w:lineRule="auto"/>
      </w:pPr>
      <w:r>
        <w:t>增值服务：艺术家认证、作品摄影/上架、证书服务、营销素材、活动策展和流量包。</w:t>
      </w:r>
    </w:p>
    <w:p>
      <w:pPr>
        <w:pStyle w:val="Heading1"/>
      </w:pPr>
      <w:r>
        <w:t>6. 增长策略</w:t>
      </w:r>
    </w:p>
    <w:p>
      <w:pPr>
        <w:pStyle w:val="ListNumber"/>
        <w:spacing w:before="0" w:after="80" w:line="280" w:lineRule="auto"/>
      </w:pPr>
      <w:r>
        <w:rPr>
          <w:rFonts w:ascii="PingFang SC" w:hAnsi="PingFang SC" w:eastAsia="PingFang SC"/>
          <w:sz w:val="21"/>
        </w:rPr>
        <w:t>先做高质量供给：建立艺术家/经纪人准入、作品资料标准、价格带策略和首批标杆案例。</w:t>
      </w:r>
    </w:p>
    <w:p>
      <w:pPr>
        <w:pStyle w:val="ListNumber"/>
        <w:spacing w:before="0" w:after="80" w:line="280" w:lineRule="auto"/>
      </w:pPr>
      <w:r>
        <w:rPr>
          <w:rFonts w:ascii="PingFang SC" w:hAnsi="PingFang SC" w:eastAsia="PingFang SC"/>
          <w:sz w:val="21"/>
        </w:rPr>
        <w:t>以内容建立信任：围绕作品故事、艺术家履历、收藏知识和专场策展沉淀社区内容。</w:t>
      </w:r>
    </w:p>
    <w:p>
      <w:pPr>
        <w:pStyle w:val="ListNumber"/>
        <w:spacing w:before="0" w:after="80" w:line="280" w:lineRule="auto"/>
      </w:pPr>
      <w:r>
        <w:rPr>
          <w:rFonts w:ascii="PingFang SC" w:hAnsi="PingFang SC" w:eastAsia="PingFang SC"/>
          <w:sz w:val="21"/>
        </w:rPr>
        <w:t>用艺荐官放大传播：将推广素材、佣金规则、团队管理和提现流程产品化，驱动私域转介绍。</w:t>
      </w:r>
    </w:p>
    <w:p>
      <w:pPr>
        <w:pStyle w:val="ListNumber"/>
        <w:spacing w:before="0" w:after="80" w:line="280" w:lineRule="auto"/>
      </w:pPr>
      <w:r>
        <w:rPr>
          <w:rFonts w:ascii="PingFang SC" w:hAnsi="PingFang SC" w:eastAsia="PingFang SC"/>
          <w:sz w:val="21"/>
        </w:rPr>
        <w:t>用拍卖提升稀缺性：以主题专场制造事件感，拉升高客单转化和平台品牌势能。</w:t>
      </w:r>
    </w:p>
    <w:p>
      <w:pPr>
        <w:pStyle w:val="ListNumber"/>
        <w:spacing w:before="0" w:after="80" w:line="280" w:lineRule="auto"/>
      </w:pPr>
      <w:r>
        <w:rPr>
          <w:rFonts w:ascii="PingFang SC" w:hAnsi="PingFang SC" w:eastAsia="PingFang SC"/>
          <w:sz w:val="21"/>
        </w:rPr>
        <w:t>用数据优化转化：持续追踪曝光、收藏、加购、询单、支付、复购、转介绍等核心漏斗。</w:t>
      </w:r>
    </w:p>
    <w:p>
      <w:pPr>
        <w:pStyle w:val="Heading1"/>
      </w:pPr>
      <w:r>
        <w:t>7. 阶段里程碑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300"/>
        <w:gridCol w:w="3960"/>
        <w:gridCol w:w="260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时间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关键目标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核心指标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MVP 商业验证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0-3个月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首批艺术家与作品入驻；打通支付、履约和真实成交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作品数、GMV、支付转化率、退款率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增长模型验证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3-6个月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跑通内容社区和艺荐官增长，形成可复制获客路径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新增用户、CAC、艺荐官 GMV、复购率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规模化运营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6-12个月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拓展城市与机构合作，打造拍卖专场和高客单交易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月 GMV、客单价、专场成交率、活跃供给方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品牌与生态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12-18个月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沉淀艺术家、会员和机构合作网络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会员收入、合作数、留存率、毛利率</w:t>
            </w:r>
          </w:p>
        </w:tc>
      </w:tr>
    </w:tbl>
    <w:p/>
    <w:p>
      <w:pPr>
        <w:pStyle w:val="Heading1"/>
      </w:pPr>
      <w:r>
        <w:t>8. 竞争优势</w:t>
      </w:r>
    </w:p>
    <w:p>
      <w:pPr>
        <w:pStyle w:val="ListBullet"/>
        <w:spacing w:before="0" w:after="80" w:line="280" w:lineRule="auto"/>
      </w:pPr>
      <w:r>
        <w:t>角色体系完整：不只服务买卖双方，还把艺术家、经纪人和推广者纳入平台增长结构，并让艺术家在每次交易中持续获得收益。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交易与内容结合：用社区内容降低艺术品消费教育成本，用交易闭环承接转化。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拍卖与标品交易并行：同时覆盖常规购买和稀缺作品竞价场景，提高商业弹性。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技术架构可扩展：微服务、多端和消息队列架构为后续并发、活动和业务扩展留出空间。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合规意识前置：二级分销限制、T+N 结算、个税代扣代缴、价格变更追溯等机制已纳入设计。</w:t>
      </w:r>
    </w:p>
    <w:p>
      <w:pPr>
        <w:pStyle w:val="Heading1"/>
      </w:pPr>
      <w:r>
        <w:t>9. 当前进展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板块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进展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前端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Uni-app + Vue 3 小程序/H5 页面已覆盖首页、画廊、作品详情、购物车、个人中心、订单、拍卖、艺术圈、艺术家主页、艺荐官中心等核心路径。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Spring Cloud 微服务已覆盖用户、商品、订单、拍卖、社区、推广、文件、消息和网关等服务。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接口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微信登录、作品、购物车、订单、支付、拍卖、社区、艺荐官、上传、WebSocket 推送等接口已规划并实现。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数据库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用户、作品、订单、拍卖、社区、艺荐官等 23 张核心业务表和初始化脚本已具备。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部署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已有 Docker、Nginx、Nacos、MySQL 等部署配置，可支持测试和上线准备。</w:t>
            </w:r>
          </w:p>
        </w:tc>
      </w:tr>
    </w:tbl>
    <w:p/>
    <w:p>
      <w:pPr>
        <w:pStyle w:val="Heading1"/>
      </w:pPr>
      <w:r>
        <w:t>10. 待补充数据清单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b w:val="0"/>
          <w:i w:val="0"/>
          <w:sz w:val="22"/>
        </w:rPr>
        <w:t>为了把本稿升级成可正式对外投递版本，建议尽快补齐以下数据。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PingFang SC" w:hAnsi="PingFang SC" w:eastAsia="PingFang SC"/>
                <w:b/>
                <w:color w:val="1F4E79"/>
                <w:sz w:val="20"/>
              </w:rPr>
              <w:t>需要补充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经营数据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注册用户、认证艺术家、经纪人、艺荐官数量；作品上架数；成交订单数；GMV；客单价；退款率。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增长数据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渠道来源、获客成本、转化漏斗、收藏/加购/支付率、复购率、艺荐官贡献占比。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财务数据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收入、毛利、支付通道成本、履约/客服成本、团队成本、现金余额、月 burn rate。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融资条款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融资金额、估值区间、出让比例、资金到账节奏、投资人权利条款。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团队信息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PingFang SC" w:hAnsi="PingFang SC" w:eastAsia="PingFang SC"/>
                <w:sz w:val="18"/>
              </w:rPr>
              <w:t>创始团队履历、艺术行业资源、技术/运营/供应链经验、顾问资源。</w:t>
            </w:r>
          </w:p>
        </w:tc>
      </w:tr>
    </w:tbl>
    <w:p/>
    <w:p>
      <w:pPr>
        <w:pStyle w:val="Heading1"/>
      </w:pPr>
      <w:r>
        <w:t>11. 投资人沟通要点</w:t>
      </w:r>
    </w:p>
    <w:p>
      <w:pPr>
        <w:pStyle w:val="ListBullet"/>
        <w:spacing w:before="0" w:after="80" w:line="280" w:lineRule="auto"/>
      </w:pPr>
      <w:r>
        <w:t>我们不是单纯做线上画廊，而是在搭建艺术品交易的社交化基础设施，让艺术家、经纪人和收藏家在同一平台上形成持续流通关系。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平台的关键验证不是页面是否完整，而是真实优质供给、支付转化、复购和转介绍能否跑通。</w:t>
      </w:r>
    </w:p>
    <w:p>
      <w:pPr>
        <w:pStyle w:val="ListBullet"/>
        <w:spacing w:before="0" w:after="80" w:line="280" w:lineRule="auto"/>
      </w:pPr>
      <w:r>
        <w:t>本轮融资主要买时间和验证速度：用 12-18 个月验证一个可复制的供给、内容、交易和分销增长模型，特别是艺术家持续分成和经纪人裂变带来的复购、转介绍与流通效率。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短期重点是形成标杆艺术家、标杆专场和标杆成交案例；中期重点是将运营动作产品化、数据化、规模化。</w:t>
      </w:r>
    </w:p>
    <w:p>
      <w:pPr>
        <w:pStyle w:val="Heading1"/>
      </w:pPr>
      <w:r>
        <w:t>附录：建议融资材料包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10-15 页融资 BP：用于首次投递和路演。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本融资商业计划书：用于投资人初步感兴趣后的详细沟通。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产品演示账号或录屏：展示交易、拍卖、艺荐官、后台和支付流程。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数据室：营业执照、团队资料、财务模型、代码资产、合同模板、合规说明、核心数据报表。</w:t>
      </w:r>
    </w:p>
    <w:p>
      <w:pPr>
        <w:pStyle w:val="ListBullet"/>
        <w:spacing w:before="0" w:after="80" w:line="280" w:lineRule="auto"/>
      </w:pPr>
      <w:r>
        <w:rPr>
          <w:rFonts w:ascii="PingFang SC" w:hAnsi="PingFang SC" w:eastAsia="PingFang SC"/>
          <w:sz w:val="21"/>
        </w:rPr>
        <w:t>财务模型表：收入模型、成本结构、资金用途、18个月现金流、关键指标敏感性分析。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艺本艺术融资商业计划书 |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