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Microsoft YaHei" w:hAnsi="Microsoft YaHei" w:eastAsia="Microsoft YaHei"/>
          <w:b/>
          <w:color w:val="111111"/>
          <w:sz w:val="56"/>
        </w:rPr>
        <w:t>拾艺局</w:t>
      </w:r>
    </w:p>
    <w:p>
      <w:pPr>
        <w:jc w:val="center"/>
      </w:pPr>
      <w:r>
        <w:rPr>
          <w:rFonts w:ascii="Microsoft YaHei" w:hAnsi="Microsoft YaHei" w:eastAsia="Microsoft YaHei"/>
          <w:b/>
          <w:color w:val="2F3A4A"/>
          <w:sz w:val="36"/>
        </w:rPr>
        <w:t>Spring Boot 后端项目结构 + 实体类命名 + Controller/Service/Mapper 代码规范</w:t>
      </w:r>
    </w:p>
    <w:p>
      <w:pPr>
        <w:spacing w:before="320"/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  <w:t>V1.0  ·  可直接作为研发团队统一开发基线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7F4EE"/>
            <w:tcBorders>
              <w:top w:val="single" w:sz="8" w:color="C8A96A"/>
              <w:left w:val="single" w:sz="8" w:color="C8A96A"/>
              <w:bottom w:val="single" w:sz="8" w:color="C8A96A"/>
              <w:right w:val="single" w:sz="8" w:color="C8A96A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C8A96A"/>
                <w:sz w:val="21"/>
              </w:rPr>
              <w:t xml:space="preserve">适用范围  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适用于拾艺局微信小程序后端开发，技术栈建议为 Spring Boot + MyBatis-Plus + MySQL + Redis + MinIO/OSS + 微信支付。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/>
        <w:tc>
          <w:tcPr>
            <w:tcW w:type="dxa" w:w="1814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35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建议方案</w:t>
            </w:r>
          </w:p>
        </w:tc>
        <w:tc>
          <w:tcPr>
            <w:tcW w:type="dxa" w:w="4535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项目定位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交易型艺术品流通平台后端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支持艺术家发布、动态定价、分销、转售、托管、盲盒、独家发行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架构模式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单体优先，模块化分层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 优先保证上线效率，后续可拆分为用户/交易/营销/内容服务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代码风格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领域清晰、命名稳定、接口统一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确保前后端、测试、运维对同一业务对象的理解一致</w:t>
            </w:r>
          </w:p>
        </w:tc>
      </w:tr>
    </w:tbl>
    <w:p/>
    <w:p>
      <w:r>
        <w:br w:type="page"/>
      </w:r>
    </w:p>
    <w:p>
      <w:pPr>
        <w:pStyle w:val="Heading1"/>
      </w:pPr>
      <w:r>
        <w:t>1. 后端总体架构建议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V1 阶段不建议一开始做过度微服务。拾艺局业务链路长，但用户量在冷启动期有限，优先采用“单体应用 + 模块化包结构 + Redis 缓存 + 异步消息预留”的方式，能够兼顾上线速度、维护成本和后续演进空间。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单体应用内按业务域拆包，严格限制跨域直接调用。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支付、分账、物流、证书生成、价格刷新等高风险动作统一走应用服务层。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面向前端暴露 RESTful 接口，对外依赖（微信、支付、短信、OSS）封装在 infra 层。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7F4EE"/>
            <w:tcBorders>
              <w:top w:val="single" w:sz="8" w:color="C8A96A"/>
              <w:left w:val="single" w:sz="8" w:color="C8A96A"/>
              <w:bottom w:val="single" w:sz="8" w:color="C8A96A"/>
              <w:right w:val="single" w:sz="8" w:color="C8A96A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C8A96A"/>
                <w:sz w:val="21"/>
              </w:rPr>
              <w:t xml:space="preserve">推荐原则  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先把业务边界划清，再谈拆分。V1 最重要的不是服务数量，而是交易链路稳定、命名统一、状态一致。</w:t>
            </w:r>
          </w:p>
        </w:tc>
      </w:tr>
    </w:tbl>
    <w:p/>
    <w:p>
      <w:pPr>
        <w:pStyle w:val="Heading2"/>
      </w:pPr>
      <w:r>
        <w:t>1.1 推荐技术栈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/>
        <w:tc>
          <w:tcPr>
            <w:tcW w:type="dxa" w:w="1701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层面</w:t>
            </w:r>
          </w:p>
        </w:tc>
        <w:tc>
          <w:tcPr>
            <w:tcW w:type="dxa" w:w="2721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推荐实现</w:t>
            </w:r>
          </w:p>
        </w:tc>
        <w:tc>
          <w:tcPr>
            <w:tcW w:type="dxa" w:w="4762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Web 框架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Spring Boot 3.x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统一使用 Spring MVC + Validation + AOP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ORM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MyBatis-Plus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复杂查询可配合 XML，自定义 SQL 仍需经过 Service 编排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MySQL 8.0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事务型表使用 InnoDB，统一 utf8mb4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缓存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Redis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登录态、验证码、价格缓存、热点榜单、分销统计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对象存储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MinIO / OSS / COS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作品图、证书 PDF、物流回单等文件存储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任务调度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Spring Scheduler / XXL-Job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用于价格刷新、托管费结算、分销结算补偿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接口文档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SpringDoc OpenAPI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自动生成接口文档，便于前后端联调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日志链路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Logback + TraceId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支付、退款、结算、转售必须可追踪</w:t>
            </w:r>
          </w:p>
        </w:tc>
      </w:tr>
    </w:tbl>
    <w:p/>
    <w:p>
      <w:pPr>
        <w:pStyle w:val="Heading2"/>
      </w:pPr>
      <w:r>
        <w:t>1.2 目录结构（推荐落地版）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建议项目根包统一为：com.shiyiju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111111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com.shiyiju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├─ bootstrap                 # 启动类与全局配置装配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├─ common                    # 通用能力：响应体、异常、枚举、工具类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├─ config                    # Web、MyBatis、Redis、Swagger、支付配置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├─ modules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user                   # 用户 / 微信登录 / 藏家 / 艺荐官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artist                 # 艺术家主页、等级、认证、签约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artwork                # 作品、SKU、图集、分类、排序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pricing                # 动态定价、价格快照、涨幅任务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order                  # 订单、支付、发货、物流、退款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certificate            # 证书、权属记录、转售流转链路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consignment            # 托管、仓储、托管费用结算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distribution           # 二级分销、三级团队、佣金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resale                 # 转售、流通市场、持有期规则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groupbuy               # 拼团收藏、份额持有、联合证书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blindbox               # 艺术盲盒、开盒记录、概率配置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exclusive              # 独家发行、预约发售、白名单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├─ invite                # 邀请码、冷启动渠道绑定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│  └─ admin                 # 平台后台、运营配置、权限</w:t>
            </w:r>
          </w:p>
          <w:p>
            <w:pPr>
              <w:spacing w:after="0"/>
            </w:pPr>
            <w:r>
              <w:rPr>
                <w:rFonts w:ascii="Consolas" w:hAnsi="Consolas" w:eastAsia="Consolas"/>
                <w:b w:val="0"/>
                <w:color w:val="F2F2F2"/>
                <w:sz w:val="18"/>
              </w:rPr>
              <w:t>└─ integration               # 微信、支付、短信、物流、存储等外部集成</w:t>
            </w:r>
          </w:p>
        </w:tc>
      </w:tr>
    </w:tbl>
    <w:p/>
    <w:p>
      <w:pPr>
        <w:pStyle w:val="Heading1"/>
      </w:pPr>
      <w:r>
        <w:t>2. 分层职责与包内约束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每个业务模块内部建议继续保持统一层次：controller、app、service、domain、mapper、entity、dto、vo、convert、enums。并规定只有相邻层可以互相依赖，避免 Controller 直连 Mapper。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/>
        <w:tc>
          <w:tcPr>
            <w:tcW w:type="dxa" w:w="1474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</w:t>
            </w:r>
          </w:p>
        </w:tc>
        <w:tc>
          <w:tcPr>
            <w:tcW w:type="dxa" w:w="2948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4762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禁止事项 / 备注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Controller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接收入参、做参数校验、返回统一响应体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不写业务规则、不直接写 SQL、不拼装复杂对象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AppService / Facade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编排跨领域流程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如“创建订单 -&gt; 锁库存 -&gt; 调支付 -&gt; 生成证书占位”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DomainService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承载单领域核心业务规则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如涨价计算、佣金计算、持有期校验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Mapper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数据库访问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只负责数据读写；复杂业务判断禁止下沉到 Mapper XML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Entity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数据库实体对象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字段名与表结构强一致，不混入页面展示文案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DTO / Query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入参承载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供 Controller / Service 使用，不回传给前端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VO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出参对象</w:t>
            </w:r>
          </w:p>
        </w:tc>
        <w:tc>
          <w:tcPr>
            <w:tcW w:type="dxa" w:w="476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与前端页面字段对齐，避免直接返回 Entity</w:t>
            </w:r>
          </w:p>
        </w:tc>
      </w:tr>
    </w:tbl>
    <w:p/>
    <w:p>
      <w:pPr>
        <w:pStyle w:val="Heading2"/>
      </w:pPr>
      <w:r>
        <w:t>2.1 模块调用规则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订单模块可以依赖作品、价格、证书、托管、分销模块的应用服务，但不能直接操作对方 Mapper。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艺术家模块可读取作品统计数据，但作品上下架仍由 artwork 模块主导。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后台 admin 模块是运营入口，不等于业务主逻辑承载层；后台接口也应调用对应业务模块服务。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公共能力（枚举、异常、统一返回、脱敏、日期工具）放 common，不在业务模块中重复造轮子。</w:t>
      </w:r>
    </w:p>
    <w:p>
      <w:pPr>
        <w:pStyle w:val="Heading2"/>
      </w:pPr>
      <w:r>
        <w:t>2.2 事务设计建议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短事务优先：本地数据库状态提交后，再异步触发消息或回调。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支付成功、佣金入账、证书补发、物流同步等外部动作必须具备幂等控制。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转售成交、拼团成团、盲盒开盒等关键流程应有业务流水表，便于追查。</w:t>
      </w:r>
    </w:p>
    <w:p>
      <w:r>
        <w:br w:type="page"/>
      </w:r>
    </w:p>
    <w:p>
      <w:pPr>
        <w:pStyle w:val="Heading1"/>
      </w:pPr>
      <w:r>
        <w:t>3. 实体类命名规范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命名必须让研发、产品、测试、运营看到后含义一致。命名建议坚持三条：第一，优先用业务名词；第二，后缀体现对象职责；第三，同一个概念全项目只保留一套英文词根。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/>
        <w:tc>
          <w:tcPr>
            <w:tcW w:type="dxa" w:w="1814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对象类型</w:t>
            </w:r>
          </w:p>
        </w:tc>
        <w:tc>
          <w:tcPr>
            <w:tcW w:type="dxa" w:w="2948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命名示例</w:t>
            </w:r>
          </w:p>
        </w:tc>
        <w:tc>
          <w:tcPr>
            <w:tcW w:type="dxa" w:w="4309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规则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数据库表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syj_user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syj 开头统一项目前缀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实体类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UserEntity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表实体统一以 Entity 结尾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Mapper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UserMapper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 Entity 一一对应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Service 接口</w:t>
            </w:r>
          </w:p>
        </w:tc>
        <w:tc>
          <w:tcPr>
            <w:tcW w:type="dxa" w:w="294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UserService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领域服务接口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Service 实现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UserServiceImpl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实现类统一 Impl 后缀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应用服务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OrderAppService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跨领域流程编排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新增请求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ArtworkCreateDTO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创建类请求用 CreateDTO / UpdateDTO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查询请求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ArtworkPageQuery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分页查询统一 PageQuery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详情返回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ArtworkDetailVO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返回前端统一 VO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枚举</w:t>
            </w:r>
          </w:p>
        </w:tc>
        <w:tc>
          <w:tcPr>
            <w:tcW w:type="dxa" w:w="2948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OrderStatusEnum</w:t>
            </w:r>
          </w:p>
        </w:tc>
        <w:tc>
          <w:tcPr>
            <w:tcW w:type="dxa" w:w="4309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枚举统一 Enum 后缀</w:t>
            </w:r>
          </w:p>
        </w:tc>
      </w:tr>
    </w:tbl>
    <w:p/>
    <w:p>
      <w:pPr>
        <w:pStyle w:val="Heading2"/>
      </w:pPr>
      <w:r>
        <w:t>3.1 核心实体命名建议清单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/>
        <w:tc>
          <w:tcPr>
            <w:tcW w:type="dxa" w:w="1814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业务域</w:t>
            </w:r>
          </w:p>
        </w:tc>
        <w:tc>
          <w:tcPr>
            <w:tcW w:type="dxa" w:w="7087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推荐实体类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用户域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UserEntity, UserAuthEntity, UserProfileEntity, InviteCodeEntity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艺术家域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ArtistEntity, ArtistLevelEntity, ArtistCertificationEntity, ArtistHomepageEntity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作品域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ArtworkEntity, ArtworkSkuEntity, ArtworkMediaEntity, ArtworkTagEntity, ArtworkFavoriteEntity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定价域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ArtworkPriceRuleEntity, ArtworkPriceSnapshotEntity, ArtworkPriceAdjustLogEntity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交易域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OrderEntity, OrderItemEntity, PaymentRecordEntity, ShipmentEntity, LogisticsTraceEntity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证书域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CertificateEntity, OwnershipRecordEntity, CertificateIssueLogEntity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托管域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ConsignmentOrderEntity, ConsignmentFeeRuleEntity, ConsignmentFeeBillEntity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分销域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DistributorRelationEntity, DistributionOrderEntity, CommissionBillEntity, WalletAccountEntity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转售域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ResaleListingEntity, ResaleTransactionEntity, HoldingPeriodRuleEntity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拼团域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GroupCollectProjectEntity, GroupCollectShareEntity, GroupCollectOrderEntity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盲盒域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BlindBoxEntity, BlindBoxItemEntity, BlindBoxOpenRecordEntity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独家发行</w:t>
            </w:r>
          </w:p>
        </w:tc>
        <w:tc>
          <w:tcPr>
            <w:tcW w:type="dxa" w:w="708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ExclusiveReleaseEntity, ReleaseReservationEntity, WhitelistUserEntity</w:t>
            </w:r>
          </w:p>
        </w:tc>
      </w:tr>
    </w:tbl>
    <w:p/>
    <w:p>
      <w:pPr>
        <w:pStyle w:val="Heading2"/>
      </w:pPr>
      <w:r>
        <w:t>3.2 禁止命名方式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禁止使用 Info、Data、Bean、Model 作为万能后缀；这些后缀语义模糊。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禁止同一业务概念出现多个英文词根，例如 resale 和 resaleMarket 混用、certificate 和 cert 混用。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禁止直接使用中文拼音拼类名。仅项目品牌 shiyiju 可出现在根包名中。</w:t>
      </w:r>
    </w:p>
    <w:p>
      <w:pPr>
        <w:pStyle w:val="Heading1"/>
      </w:pPr>
      <w:r>
        <w:t>4. Controller / Service / Mapper 编码规范</w:t>
      </w:r>
    </w:p>
    <w:p>
      <w:pPr>
        <w:pStyle w:val="Heading2"/>
      </w:pPr>
      <w:r>
        <w:t>4.1 Controller 规范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路径按资源命名，示例：/api/artworks、/api/orders、/api/resale/listings。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Controller 仅做入参接收、权限校验入口、统一异常转译，不写复杂 if/else 业务。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分页接口统一返回 PageResult&lt;T&gt;，详情接口统一返回单对象 VO。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后台接口与 C 端接口分开命名空间，例如 /api/admin/artists 与 /api/artists/{id}。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7F4EE"/>
            <w:tcBorders>
              <w:top w:val="single" w:sz="8" w:color="C8A96A"/>
              <w:left w:val="single" w:sz="8" w:color="C8A96A"/>
              <w:bottom w:val="single" w:sz="8" w:color="C8A96A"/>
              <w:right w:val="single" w:sz="8" w:color="C8A96A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C8A96A"/>
                <w:sz w:val="21"/>
              </w:rPr>
              <w:t xml:space="preserve">Controller 示例原则  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一个接口方法最好在 30 行以内；超过时，通常意味着编排逻辑应下沉到 AppService。</w:t>
            </w:r>
          </w:p>
        </w:tc>
      </w:tr>
    </w:tbl>
    <w:p/>
    <w:p>
      <w:pPr>
        <w:pStyle w:val="Heading2"/>
      </w:pPr>
      <w:r>
        <w:t>4.2 Service 规范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核心业务规则写在 DomainService 或 Service 中，命名使用动词 + 业务对象，例如 createOrder、publishResaleListing、settleCommission。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跨域编排使用 AppService，例如 OrderAppService.placeOrder()。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Service 返回业务结果对象或 VO，不直接暴露数据库实体给 Controller。</w:t>
      </w:r>
    </w:p>
    <w:p>
      <w:pPr>
        <w:pStyle w:val="Heading2"/>
      </w:pPr>
      <w:r>
        <w:t>4.3 Mapper 规范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简单 CRUD 使用 MyBatis-Plus；统计、联表、复杂筛选使用 XML。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Mapper 参数与返回值必须语义明确，不使用 Map 当万能参数。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SQL 中涉及状态枚举值时，优先使用代码常量或枚举转换，避免写死魔法数字。</w:t>
      </w:r>
    </w:p>
    <w:p>
      <w:r>
        <w:br w:type="page"/>
      </w:r>
    </w:p>
    <w:p>
      <w:pPr>
        <w:pStyle w:val="Heading1"/>
      </w:pPr>
      <w:r>
        <w:t>5. 统一接口与对象约定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/>
        <w:tc>
          <w:tcPr>
            <w:tcW w:type="dxa" w:w="1701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721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</w:t>
            </w:r>
          </w:p>
        </w:tc>
        <w:tc>
          <w:tcPr>
            <w:tcW w:type="dxa" w:w="4535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响应体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ApiResponse&lt;T&gt;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字段固定为 code / message / data / traceId / timestamp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分页体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PageResult&lt;T&gt;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固定含 list / pageNum / pageSize / total / totalPage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时间字段</w:t>
            </w:r>
          </w:p>
        </w:tc>
        <w:tc>
          <w:tcPr>
            <w:tcW w:type="dxa" w:w="272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createTime / updateTime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统一使用 LocalDateTime，序列化为 yyyy-MM-dd HH:mm:ss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主键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Long id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数据库自增或雪花 ID，前后端统一使用字符串接收更安全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状态字段</w:t>
            </w:r>
          </w:p>
        </w:tc>
        <w:tc>
          <w:tcPr>
            <w:tcW w:type="dxa" w:w="272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xxxStatus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状态类字段统一以 Status 结尾，对应 Enum</w:t>
            </w:r>
          </w:p>
        </w:tc>
      </w:tr>
    </w:tbl>
    <w:p/>
    <w:p>
      <w:pPr>
        <w:pStyle w:val="Heading2"/>
      </w:pPr>
      <w:r>
        <w:t>5.1 DTO 与 VO 拆分原则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CreateDTO 只承载创建所需字段；UpdateDTO 只承载允许修改字段。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前端列表页与详情页 VO 可以分离，避免把重字段全部带上。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Entity 通过 Convert 层转换到 VO，禁止 Controller 手写大量 set。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b w:val="0"/>
          <w:sz w:val="21"/>
        </w:rPr>
        <w:t>查询条件对象命名统一为 XxxPageQuery / XxxListQuery / XxxStatQuery。</w:t>
      </w:r>
    </w:p>
    <w:p>
      <w:pPr>
        <w:pStyle w:val="Heading2"/>
      </w:pPr>
      <w:r>
        <w:t>5.2 枚举规范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/>
        <w:tc>
          <w:tcPr>
            <w:tcW w:type="dxa" w:w="2551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枚举类</w:t>
            </w:r>
          </w:p>
        </w:tc>
        <w:tc>
          <w:tcPr>
            <w:tcW w:type="dxa" w:w="6350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建议枚举值</w:t>
            </w:r>
          </w:p>
        </w:tc>
      </w:tr>
      <w:tr>
        <w:trPr/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OrderStatusEnum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PENDING_PAY / PAID / SHIPPED / FINISHED / CLOSED</w:t>
            </w:r>
          </w:p>
        </w:tc>
      </w:tr>
      <w:tr>
        <w:trPr/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ArtworkStatusEnum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DRAFT / ON_SALE / COLLECTED / OFF_SHELF</w:t>
            </w:r>
          </w:p>
        </w:tc>
      </w:tr>
      <w:tr>
        <w:trPr/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ResaleStatusEnum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PENDING_REVIEW / LISTED / SOLD / CANCELED</w:t>
            </w:r>
          </w:p>
        </w:tc>
      </w:tr>
      <w:tr>
        <w:trPr/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ConsignmentTypeEnum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PLATFORM / ARTIST</w:t>
            </w:r>
          </w:p>
        </w:tc>
      </w:tr>
      <w:tr>
        <w:trPr/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CertificateTypeEnum</w:t>
            </w:r>
          </w:p>
        </w:tc>
        <w:tc>
          <w:tcPr>
            <w:tcW w:type="dxa" w:w="6350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ELECTRONIC / PAPER / JOINT</w:t>
            </w:r>
          </w:p>
        </w:tc>
      </w:tr>
    </w:tbl>
    <w:p/>
    <w:p>
      <w:pPr>
        <w:pStyle w:val="Heading1"/>
      </w:pPr>
      <w:r>
        <w:t>6. 横切规范：权限、日志、异常、校验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拾艺局的业务风险主要集中在交易、分账、价格、权属，所以横切能力必须在项目启动时就统一，不建议后补。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/>
        <w:tc>
          <w:tcPr>
            <w:tcW w:type="dxa" w:w="1701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3061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建议</w:t>
            </w:r>
          </w:p>
        </w:tc>
        <w:tc>
          <w:tcPr>
            <w:tcW w:type="dxa" w:w="4195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权限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前台用户、艺术家、艺荐官、平台管理员分权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后台接口必须校验角色与资源归属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日志</w:t>
            </w:r>
          </w:p>
        </w:tc>
        <w:tc>
          <w:tcPr>
            <w:tcW w:type="dxa" w:w="306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关键流程打业务日志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支付、退款、托管结算、转售成交记录 requestId / orderNo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异常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BusinessException + ErrorCode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业务异常文案面向前端可读，系统异常不暴露堆栈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参数校验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JSR 380 Validation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Controller 层使用 @Validated，非法入参及早失败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幂等</w:t>
            </w:r>
          </w:p>
        </w:tc>
        <w:tc>
          <w:tcPr>
            <w:tcW w:type="dxa" w:w="3061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token / 唯一流水 / 乐观锁</w:t>
            </w:r>
          </w:p>
        </w:tc>
        <w:tc>
          <w:tcPr>
            <w:tcW w:type="dxa" w:w="4195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支付通知、重复点击提交、定时任务补偿都要防重</w:t>
            </w:r>
          </w:p>
        </w:tc>
      </w:tr>
    </w:tbl>
    <w:p/>
    <w:p>
      <w:pPr>
        <w:pStyle w:val="Heading2"/>
      </w:pPr>
      <w:r>
        <w:t>6.1 乐观锁与状态机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作品库存、订单状态、转售挂单状态、拼团份额都建议带 version 字段或状态前置判断。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不要允许状态任意跳跃，必须通过明确方法变更，例如 payOrder、shipOrder、closeOrder。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关键状态流转可抽象为 StateMachine 或至少以服务方法封装。</w:t>
      </w:r>
    </w:p>
    <w:p>
      <w:pPr>
        <w:pStyle w:val="Heading2"/>
      </w:pPr>
      <w:r>
        <w:t>6.2 审计字段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所有核心业务表建议统一包含 createBy、updateBy、createTime、updateTime、deleted。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后台人工调整价格、人工改等级、人工处理转售审核必须写审计日志表。</w:t>
      </w:r>
    </w:p>
    <w:p>
      <w:pPr>
        <w:pStyle w:val="Heading1"/>
      </w:pPr>
      <w:r>
        <w:t>7. 模块示例：作品与订单模块推荐写法</w:t>
      </w:r>
    </w:p>
    <w:p>
      <w:pPr>
        <w:pStyle w:val="Heading2"/>
      </w:pPr>
      <w:r>
        <w:t>7.1 Artwork 模块结构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/>
        <w:tc>
          <w:tcPr>
            <w:tcW w:type="dxa" w:w="1701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</w:t>
            </w:r>
          </w:p>
        </w:tc>
        <w:tc>
          <w:tcPr>
            <w:tcW w:type="dxa" w:w="6803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推荐类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controller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ArtworkController, AdminArtworkController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ArtworkAppService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service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ArtworkService, ArtworkPriceService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mapper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ArtworkMapper, ArtworkSkuMapper, ArtworkMediaMapper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entity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ArtworkEntity, ArtworkSkuEntity, ArtworkMediaEntity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dto/query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ArtworkCreateDTO, ArtworkUpdateDTO, ArtworkPageQuery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vo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ArtworkCardVO, ArtworkDetailVO, ArtworkPriceTrendVO</w:t>
            </w:r>
          </w:p>
        </w:tc>
      </w:tr>
    </w:tbl>
    <w:p/>
    <w:p>
      <w:pPr>
        <w:pStyle w:val="Heading2"/>
      </w:pPr>
      <w:r>
        <w:t>7.2 Order 模块结构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/>
        <w:tc>
          <w:tcPr>
            <w:tcW w:type="dxa" w:w="1701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</w:t>
            </w:r>
          </w:p>
        </w:tc>
        <w:tc>
          <w:tcPr>
            <w:tcW w:type="dxa" w:w="6803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推荐类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controller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OrderController, AdminOrderController, PaymentNotifyController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app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OrderAppService, RefundAppService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service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OrderService, PaymentService, ShipmentService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mapper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OrderMapper, OrderItemMapper, PaymentRecordMapper, ShipmentMapper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entity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OrderEntity, OrderItemEntity, PaymentRecordEntity, ShipmentEntity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dto/query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OrderCreateDTO, OrderPayDTO, OrderPageQuery, RefundApplyDTO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vo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OrderListVO, OrderDetailVO, PaymentPrepayVO, LogisticsTraceVO</w:t>
            </w:r>
          </w:p>
        </w:tc>
      </w:tr>
    </w:tbl>
    <w:p/>
    <w:p>
      <w:r>
        <w:br w:type="page"/>
      </w:r>
    </w:p>
    <w:p>
      <w:pPr>
        <w:pStyle w:val="Heading1"/>
      </w:pPr>
      <w:r>
        <w:t>8. Code Review 清单（建议团队强制执行）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/>
        <w:tc>
          <w:tcPr>
            <w:tcW w:type="dxa" w:w="1134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7937"/>
            <w:vAlign w:val="center"/>
            <w:shd w:fill="2F3A4A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检查项</w:t>
            </w:r>
          </w:p>
        </w:tc>
      </w:tr>
      <w:tr>
        <w:trPr/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Controller 是否只做接入层工作，没有夹带业务判断或 SQL。</w:t>
            </w:r>
          </w:p>
        </w:tc>
      </w:tr>
      <w:tr>
        <w:trPr/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Service 方法名是否体现业务动作，是否避免了含糊命名如 handle/process/doData。</w:t>
            </w:r>
          </w:p>
        </w:tc>
      </w:tr>
      <w:tr>
        <w:trPr/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VO / DTO / Entity 是否分离，是否存在直接返回 Entity 给前端。</w:t>
            </w:r>
          </w:p>
        </w:tc>
      </w:tr>
      <w:tr>
        <w:trPr/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关键状态变更是否有前置校验、事务、日志和幂等。</w:t>
            </w:r>
          </w:p>
        </w:tc>
      </w:tr>
      <w:tr>
        <w:trPr/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Mapper 是否存在万能 Map 参数、魔法数字和难以维护的动态 SQL。</w:t>
            </w:r>
          </w:p>
        </w:tc>
      </w:tr>
      <w:tr>
        <w:trPr/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枚举与状态字段是否统一，是否写了重复常量。</w:t>
            </w:r>
          </w:p>
        </w:tc>
      </w:tr>
      <w:tr>
        <w:trPr/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是否补充单元测试或至少关键流程集成测试。</w:t>
            </w:r>
          </w:p>
        </w:tc>
      </w:tr>
      <w:tr>
        <w:trPr/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7937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是否记录审计日志，是否满足后台可追责。</w:t>
            </w:r>
          </w:p>
        </w:tc>
      </w:tr>
    </w:tbl>
    <w:p/>
    <w:p>
      <w:pPr>
        <w:pStyle w:val="Heading2"/>
      </w:pPr>
      <w:r>
        <w:t>8.1 提交规范建议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分支命名：feature/artwork-detail、feature/resale-order、fix/payment-notify-idempotent。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提交信息：feat: 新增作品详情接口；fix: 修复转售挂单价格校验；refactor: 抽离佣金结算服务。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单个提交尽量围绕一个业务问题，避免把 SQL、接口、页面联调杂糅到一个巨大提交中。</w:t>
      </w:r>
    </w:p>
    <w:p>
      <w:pPr>
        <w:pStyle w:val="Heading1"/>
      </w:pPr>
      <w:r>
        <w:t>9. V1 到 V2 的演进建议</w:t>
      </w:r>
    </w:p>
    <w:p>
      <w:pPr>
        <w:spacing w:line="324" w:lineRule="auto" w:after="120"/>
      </w:pPr>
      <w:r>
        <w:rPr>
          <w:rFonts w:ascii="Microsoft YaHei" w:hAnsi="Microsoft YaHei" w:eastAsia="Microsoft YaHei"/>
          <w:b w:val="0"/>
          <w:sz w:val="21"/>
        </w:rPr>
        <w:t>当拾艺局进入稳定增长期，可在保持命名体系不变的前提下，把现有单体工程逐步拆分为用户中心、交易中心、营销中心、内容中心与后台运营中心。注意：先保证命名、状态和接口契约稳定，再谈服务拆分，否则拆分后只会扩大复杂度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EF4FB"/>
            <w:tcBorders>
              <w:top w:val="single" w:sz="8" w:color="4A6FA5"/>
              <w:left w:val="single" w:sz="8" w:color="4A6FA5"/>
              <w:bottom w:val="single" w:sz="8" w:color="4A6FA5"/>
              <w:right w:val="single" w:sz="8" w:color="4A6FA5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4A6FA5"/>
                <w:sz w:val="21"/>
              </w:rPr>
              <w:t xml:space="preserve">结论  </w:t>
            </w:r>
            <w:r>
              <w:rPr>
                <w:rFonts w:ascii="Microsoft YaHei" w:hAnsi="Microsoft YaHei" w:eastAsia="Microsoft YaHei"/>
                <w:b w:val="0"/>
                <w:color w:val="555555"/>
                <w:sz w:val="20"/>
              </w:rPr>
              <w:t>这份规范的核心目标不是让代码看起来“标准”，而是让拾艺局的业务对象、状态流转和团队协作形成一套稳定语言。只要命名一致、层次清晰、流程可追踪，后端就能持续演进。</w:t>
            </w:r>
          </w:p>
        </w:tc>
      </w:tr>
    </w:tbl>
    <w:p/>
    <w:sectPr w:rsidR="00FC693F" w:rsidRPr="0006063C" w:rsidSect="00034616"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181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8484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A5A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basedOn w:val="Normal"/>
    <w:rPr>
      <w:rFonts w:ascii="Microsoft YaHei" w:hAnsi="Microsoft YaHei" w:eastAsia="Microsoft YaHei"/>
      <w:b/>
      <w:color w:val="121212"/>
      <w:sz w:val="48"/>
    </w:rPr>
  </w:style>
  <w:style w:type="paragraph" w:customStyle="1" w:styleId="CustomSubtitle">
    <w:name w:val="CustomSubtitle"/>
    <w:basedOn w:val="Normal"/>
    <w:rPr>
      <w:rFonts w:ascii="Microsoft YaHei" w:hAnsi="Microsoft YaHei" w:eastAsia="Microsoft YaHei"/>
      <w:color w:val="60606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