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Bridging the Specifier Collapse – A Protected Document on Eclipse Framework Origins</w:t>
      </w:r>
    </w:p>
    <w:p>
      <w:r>
        <w:t xml:space="preserve">This classified memorandum establishes the intellectual and structural basis for the Tier IX algorithmic logic framework known internally as the Eclipse Simulation Engine. It serves as a philosophical and procedural bridge between traditional diagnostic categories (as outlined in the DSM-5 and its revisions) and the new dimensional, simulation-driven infrastructure developed under the protected logic umbrella of the Virtual Simulated Clinician (VSC) platform. </w:t>
      </w:r>
    </w:p>
    <w:p>
      <w:pPr>
        <w:pStyle w:val="Heading1"/>
      </w:pPr>
      <w:r>
        <w:t>1. The Diagnostic Collapse and Specifier Overload</w:t>
      </w:r>
    </w:p>
    <w:p>
      <w:r>
        <w:t xml:space="preserve">Modern psychiatric documentation relies heavily on the presence or absence of check-marked specifiers to determine diagnostic codes. These codes, in turn, drive treatment authorization, billing pathways, and often irreversible decisions about pharmaceutical regimens. However, the majority of clients present with overlapping, sub-threshold, or culturally misaligned symptoms that cannot be accurately captured in these binary systems. This leads to treatment misalignment, improper medication plans, and clinician fatigue. </w:t>
      </w:r>
    </w:p>
    <w:p>
      <w:pPr>
        <w:pStyle w:val="Heading1"/>
      </w:pPr>
      <w:r>
        <w:t>2. Simulation-Based Response Logic</w:t>
      </w:r>
    </w:p>
    <w:p>
      <w:r>
        <w:t xml:space="preserve">The Eclipse framework was not designed to replace diagnosis, but to bypass its static limitations during real-time therapeutic encounters. By analyzing behavioral metadata (e.g., silence duration, speech cadence, gesture patterns) and narrative divergence, the system pivots toward dynamic engagement models. This means the clinician does not diagnose mid-session—but observes as the system guides relational, reflective, and dimensional responses based on non-diagnostic cues. </w:t>
      </w:r>
    </w:p>
    <w:p>
      <w:pPr>
        <w:pStyle w:val="Heading1"/>
      </w:pPr>
      <w:r>
        <w:t>3. The DSM as a Billing Weapon</w:t>
      </w:r>
    </w:p>
    <w:p>
      <w:r>
        <w:t xml:space="preserve">The DSM was marketed as a clinical taxonomy, but in practice became a billing code matrix. Each revision reflects an escalating pressure to compartmentalize complex experiences into reimbursable pathways. Many clients receive SSRIs, SNRIs, or antipsychotic medications based not on deep narrative understanding, but on whether their chart reflects the magic number of matched specifiers. This system is fragile, impersonal, and intellectually bankrupt. </w:t>
      </w:r>
    </w:p>
    <w:p>
      <w:pPr>
        <w:pStyle w:val="Heading1"/>
      </w:pPr>
      <w:r>
        <w:t>4. Dimensional Intervention Mapping</w:t>
      </w:r>
    </w:p>
    <w:p>
      <w:r>
        <w:t xml:space="preserve">Instead of flattening a person into a billing code, the Eclipse engine simulates dimensional maps. A user’s emotional, cultural, relational, and belief-based cues are analyzed in real time using our Tier IX engine. These simulations then inform the Virtual Simulated Clinician’s choices in the same way a seasoned human might silently pivot based on eye contact, posture, or verbal irony. </w:t>
      </w:r>
    </w:p>
    <w:p>
      <w:pPr>
        <w:pStyle w:val="Heading1"/>
      </w:pPr>
      <w:r>
        <w:t>5. Regulatory Strategy and Trade Secret Justification</w:t>
      </w:r>
    </w:p>
    <w:p>
      <w:r>
        <w:t xml:space="preserve">The algorithms described in this document and referenced via Tier IX Eclipse Codes are trade secret material and are not submitted for public disclosure. This ensures the innovation remains shielded from categorization under existing psychiatric coding structures, and prevents misuse or oversimplification by third parties seeking to recode our logic into their frameworks. Furthermore, the document establishes a protected bridge between existing clinical language and a post-diagnostic simulation era in behavioral intervention. </w:t>
      </w:r>
    </w:p>
    <w:p>
      <w:r>
        <w:br/>
        <w:t>Compiled: June 27, 2025 – Confidential IP Asset: Not for Public Disclosure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