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Eclipse Simulation Algorithms – Tier IX Protected Set (Sample 1–10 of 50)</w:t>
      </w:r>
    </w:p>
    <w:p>
      <w:r>
        <w:t>This document contains the first ten (10) Eclipse Simulation Codes developed under the Tier IX logic model. Each algorithm is uniquely labeled and designed to operate as a proprietary logic engine, bypassing DSM-centric billing logic and instead focusing on dimensional, behavioral, cultural, and narrative-based response systems. These algorithms are protected as trade secrets under the VSC platform’s Tier IX simulation framework.</w:t>
      </w:r>
    </w:p>
    <w:p>
      <w:pPr>
        <w:pStyle w:val="Heading2"/>
      </w:pPr>
      <w:r>
        <w:t>ECL-ISCL01 – Intrinsic Specifier Conversion Loop</w:t>
      </w:r>
    </w:p>
    <w:p>
      <w:r>
        <w:t>Converts observable sub-threshold symptoms into a weighted behavioral vector, which bypasses DSM criteria matching and adapts the simulated clinician's tone, cadence, and metaphor selection.</w:t>
      </w:r>
    </w:p>
    <w:p>
      <w:pPr>
        <w:pStyle w:val="Heading2"/>
      </w:pPr>
      <w:r>
        <w:t>ECL-NLIP02 – NeuroLinguistic Interpretation Pathway</w:t>
      </w:r>
    </w:p>
    <w:p>
      <w:r>
        <w:t>Interprets client language patterns for embedded cognitive distortions and realigns simulated responses using reframed affirmations pulled from a cultural-safe NLP vault.</w:t>
      </w:r>
    </w:p>
    <w:p>
      <w:pPr>
        <w:pStyle w:val="Heading2"/>
      </w:pPr>
      <w:r>
        <w:t>ECL-CTOR03 – Cultural Trigger Override Reflex</w:t>
      </w:r>
    </w:p>
    <w:p>
      <w:r>
        <w:t>Detects emotionally charged phrases specific to a client's identified cultural schema and avoids diagnostic anchoring by redirecting to symbolic language nodes.</w:t>
      </w:r>
    </w:p>
    <w:p>
      <w:pPr>
        <w:pStyle w:val="Heading2"/>
      </w:pPr>
      <w:r>
        <w:t>ECL-SSCL04 – Silence Signaling Compensation Loop</w:t>
      </w:r>
    </w:p>
    <w:p>
      <w:r>
        <w:t>Activates adaptive engagement when prolonged silence is detected, using facial micro-expression triangulation and rhythmic vocal patterning to invite emotional safety.</w:t>
      </w:r>
    </w:p>
    <w:p>
      <w:pPr>
        <w:pStyle w:val="Heading2"/>
      </w:pPr>
      <w:r>
        <w:t>ECL-PADS05 – Paradox Adaptive Delivery Script</w:t>
      </w:r>
    </w:p>
    <w:p>
      <w:r>
        <w:t>Injects paradoxical reframing statements during self-defeating thought loops, avoiding CBT diagnosis tags while modeling emotional flexibility.</w:t>
      </w:r>
    </w:p>
    <w:p>
      <w:pPr>
        <w:pStyle w:val="Heading2"/>
      </w:pPr>
      <w:r>
        <w:t>ECL-REAF06 – Reflexive Epistemic Alignment Function</w:t>
      </w:r>
    </w:p>
    <w:p>
      <w:r>
        <w:t>Aligns the simulation’s inquiry tone with the client’s spoken worldview, adjusting for religiosity, agnosticism, or nihilism without labeling belief content.</w:t>
      </w:r>
    </w:p>
    <w:p>
      <w:pPr>
        <w:pStyle w:val="Heading2"/>
      </w:pPr>
      <w:r>
        <w:t>ECL-EMOD07 – Emotionally Modeled Output Driver</w:t>
      </w:r>
    </w:p>
    <w:p>
      <w:r>
        <w:t>Generates context-sensitive affective tone for all verbal outputs based on a composite mood signature built from eye, breath, and prosody sensors.</w:t>
      </w:r>
    </w:p>
    <w:p>
      <w:pPr>
        <w:pStyle w:val="Heading2"/>
      </w:pPr>
      <w:r>
        <w:t>ECL-TREF08 – Trust Recovery Engagement Frame</w:t>
      </w:r>
    </w:p>
    <w:p>
      <w:r>
        <w:t>Rebuilds relational trust after simulated rupture (e.g., client resistance), using transparency scripting and ethical congruence tokens.</w:t>
      </w:r>
    </w:p>
    <w:p>
      <w:pPr>
        <w:pStyle w:val="Heading2"/>
      </w:pPr>
      <w:r>
        <w:t>ECL-IRPL09 – Identity Role Processing Layer</w:t>
      </w:r>
    </w:p>
    <w:p>
      <w:r>
        <w:t>Identifies layered role conflicts (e.g., mother, worker, victim) and sequences dialogue toward identity coherence without relying on diagnostic fragmentation.</w:t>
      </w:r>
    </w:p>
    <w:p>
      <w:pPr>
        <w:pStyle w:val="Heading2"/>
      </w:pPr>
      <w:r>
        <w:t>ECL-DSMX10 – Dimensional Specifier Matrix Extension</w:t>
      </w:r>
    </w:p>
    <w:p>
      <w:r>
        <w:t>Cross-references historical symptom narratives with dimensional profiles derived from multiple domains (emotional, social, behavioral) to simulate continuity across sessions.</w:t>
      </w:r>
    </w:p>
    <w:p>
      <w:r>
        <w:br/>
        <w:t>Compiled: June 27, 2025 – Protected under VSC Tier IX Trade Secret Classification.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