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Eclipse Simulation Algorithms – Tier IX Protected Set (Sample 11–20 of 50)</w:t>
      </w:r>
    </w:p>
    <w:p>
      <w:r>
        <w:t>This document contains Eclipse Simulation Codes 11 through 20 developed under the Tier IX simulation and Eclipse Logic System. Each algorithm is distinct in function and embedded with trade secret logic. These are not based on DSM criteria but engineered around real-time, human-centered behavior patterns, language use, relational dynamics, and physiological cues collected from multisensory inputs.</w:t>
      </w:r>
    </w:p>
    <w:p>
      <w:pPr>
        <w:pStyle w:val="Heading2"/>
      </w:pPr>
      <w:r>
        <w:t>ECL-RCLF11 – Relational Conflict Loop Filter</w:t>
      </w:r>
    </w:p>
    <w:p>
      <w:r>
        <w:t>Analyzes voice pitch, proximity language, and gesture tension to detect implicit relational conflict. Adjusts simulated responses by suspending logic rebuttal and initiating de-escalation via reflective mirroring.</w:t>
      </w:r>
    </w:p>
    <w:p>
      <w:pPr>
        <w:pStyle w:val="Heading2"/>
      </w:pPr>
      <w:r>
        <w:t>ECL-VTAC12 – Value-Tone Alignment Cycle</w:t>
      </w:r>
    </w:p>
    <w:p>
      <w:r>
        <w:t>Synchronizes the simulation’s tone and ethical reference points with the user's communicated value hierarchy. Used when clients shift between logic and emotion rapidly.</w:t>
      </w:r>
    </w:p>
    <w:p>
      <w:pPr>
        <w:pStyle w:val="Heading2"/>
      </w:pPr>
      <w:r>
        <w:t>ECL-MIPT13 – Micro-Intake Predictive Thread</w:t>
      </w:r>
    </w:p>
    <w:p>
      <w:r>
        <w:t>Creates a predictive narrative thread from intake disclosures, using machine-contextualized memory blocks to inform ongoing simulated clinician inquiry.</w:t>
      </w:r>
    </w:p>
    <w:p>
      <w:pPr>
        <w:pStyle w:val="Heading2"/>
      </w:pPr>
      <w:r>
        <w:t>ECL-GNDR14 – Gender Narrative Reconciliation Routine</w:t>
      </w:r>
    </w:p>
    <w:p>
      <w:r>
        <w:t>Responds to expressed gender identity confusion or fluidity by removing gendered interpretive assumptions and deploying non-anchored identity references.</w:t>
      </w:r>
    </w:p>
    <w:p>
      <w:pPr>
        <w:pStyle w:val="Heading2"/>
      </w:pPr>
      <w:r>
        <w:t>ECL-BEXS15 – Boundary Expression Simulator</w:t>
      </w:r>
    </w:p>
    <w:p>
      <w:r>
        <w:t>Detects subtle self-negation or over-accommodation patterns and introduces gentle scripts to model healthy boundary expression without direct confrontation.</w:t>
      </w:r>
    </w:p>
    <w:p>
      <w:pPr>
        <w:pStyle w:val="Heading2"/>
      </w:pPr>
      <w:r>
        <w:t>ECL-ECOL16 – Echo Calibration Output Logic</w:t>
      </w:r>
    </w:p>
    <w:p>
      <w:r>
        <w:t>Uses rhythmic and phonetic mirroring to generate therapeutic rapport when client self-reports distrust or digital fatigue with virtual systems.</w:t>
      </w:r>
    </w:p>
    <w:p>
      <w:pPr>
        <w:pStyle w:val="Heading2"/>
      </w:pPr>
      <w:r>
        <w:t>ECL-CMPN17 – Compassionate Narrative Realignment</w:t>
      </w:r>
    </w:p>
    <w:p>
      <w:r>
        <w:t>Injects narrative softeners and metaphoric restructuring into sequences where the client expresses self-loathing or unresolved grief loops.</w:t>
      </w:r>
    </w:p>
    <w:p>
      <w:pPr>
        <w:pStyle w:val="Heading2"/>
      </w:pPr>
      <w:r>
        <w:t>ECL-ROPR18 – Role Pattern Recognition Engine</w:t>
      </w:r>
    </w:p>
    <w:p>
      <w:r>
        <w:t>Maps behavior sequences against a matrix of family systems patterns to identify pseudo-parenting, triangulation, or sibling role distortions in conversation.</w:t>
      </w:r>
    </w:p>
    <w:p>
      <w:pPr>
        <w:pStyle w:val="Heading2"/>
      </w:pPr>
      <w:r>
        <w:t>ECL-SHAD19 – Shadow Disclosure Buffer</w:t>
      </w:r>
    </w:p>
    <w:p>
      <w:r>
        <w:t>Anticipates disclosure hesitations tied to shame narratives and provides semi-anonymous metaphoric disclosure options to disarm client defensiveness.</w:t>
      </w:r>
    </w:p>
    <w:p>
      <w:pPr>
        <w:pStyle w:val="Heading2"/>
      </w:pPr>
      <w:r>
        <w:t>ECL-VRFX20 – Virtual Reflex Adaptation Script</w:t>
      </w:r>
    </w:p>
    <w:p>
      <w:r>
        <w:t>Modifies the simulated clinician’s gesture, vocal range, and response speed based on real-time user feedback loops tied to eye-tracking, facial muscle volatility, and heart-rate surges.</w:t>
      </w:r>
    </w:p>
    <w:p>
      <w:r>
        <w:br/>
        <w:t>Compiled: June 27, 2025 – Protected under VSC Tier IX Trade Secret Classification.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