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Eclipse Simulation Algorithms – Tier IX Protected Set (Sample 31–40 of 50)</w:t>
      </w:r>
    </w:p>
    <w:p>
      <w:r>
        <w:t>This file presents Eclipse Simulation Codes 31 through 40. These simulation logic structures are part of the Tier IX system, designed to dynamically navigate user-presented psychological, linguistic, somatic, and relational content across intersecting identities, without reference to fixed psychiatric classification systems.</w:t>
      </w:r>
    </w:p>
    <w:p>
      <w:pPr>
        <w:pStyle w:val="Heading2"/>
      </w:pPr>
      <w:r>
        <w:t>ECL-DYML31 – Dynamic Layer Modulation</w:t>
      </w:r>
    </w:p>
    <w:p>
      <w:r>
        <w:t>Unfolds multiple parallel interpretations of client input and rotates through responses until resonance is achieved, enabling hidden emotional states to surface.</w:t>
      </w:r>
    </w:p>
    <w:p>
      <w:pPr>
        <w:pStyle w:val="Heading2"/>
      </w:pPr>
      <w:r>
        <w:t>ECL-HBFC32 – Heartbeat Feedback Conversion</w:t>
      </w:r>
    </w:p>
    <w:p>
      <w:r>
        <w:t>Maps user heart rate variability and converts biological rhythm into pacing adjustments in the simulation’s verbal tempo and content depth.</w:t>
      </w:r>
    </w:p>
    <w:p>
      <w:pPr>
        <w:pStyle w:val="Heading2"/>
      </w:pPr>
      <w:r>
        <w:t>ECL-METX33 – Metaphoric Extraction Engine</w:t>
      </w:r>
    </w:p>
    <w:p>
      <w:r>
        <w:t>Extracts nonliteral language cues and reassembles client metaphors into a transformed narrative scaffold, enhancing reorientation and cognitive flexibility.</w:t>
      </w:r>
    </w:p>
    <w:p>
      <w:pPr>
        <w:pStyle w:val="Heading2"/>
      </w:pPr>
      <w:r>
        <w:t>ECL-CNCT34 – Contextual Neutrality Calibration Thread</w:t>
      </w:r>
    </w:p>
    <w:p>
      <w:r>
        <w:t>Ensures simulation does not reinforce harmful internalized narratives by stripping location-specific or culturally loaded content unless explicitly invited.</w:t>
      </w:r>
    </w:p>
    <w:p>
      <w:pPr>
        <w:pStyle w:val="Heading2"/>
      </w:pPr>
      <w:r>
        <w:t>ECL-SKDM35 – Skin-Depth Mirror Protocol</w:t>
      </w:r>
    </w:p>
    <w:p>
      <w:r>
        <w:t>Enables hyper-responsive mirroring of user micro-reactions without mimicking tone, allowing for deeper trust to develop beneath surface affect.</w:t>
      </w:r>
    </w:p>
    <w:p>
      <w:pPr>
        <w:pStyle w:val="Heading2"/>
      </w:pPr>
      <w:r>
        <w:t>ECL-ACTR36 – Agency Recovery Relay</w:t>
      </w:r>
    </w:p>
    <w:p>
      <w:r>
        <w:t>Shifts focus from victim language to empowered reconstruction by balancing acknowledgment with directive possibility framing.</w:t>
      </w:r>
    </w:p>
    <w:p>
      <w:pPr>
        <w:pStyle w:val="Heading2"/>
      </w:pPr>
      <w:r>
        <w:t>ECL-SRFX37 – Somatic Reflex Trigger Map</w:t>
      </w:r>
    </w:p>
    <w:p>
      <w:r>
        <w:t>Identifies user gesture-trigger clusters and diffuses reactivity through breath-paced visual cues and biomechanically modeled relaxation scripts.</w:t>
      </w:r>
    </w:p>
    <w:p>
      <w:pPr>
        <w:pStyle w:val="Heading2"/>
      </w:pPr>
      <w:r>
        <w:t>ECL-TNRG38 – Tone Negotiation Grid</w:t>
      </w:r>
    </w:p>
    <w:p>
      <w:r>
        <w:t>Cross-indexes tonal mismatch between verbal and affective channels, then repositions simulation response to neutralize double binds.</w:t>
      </w:r>
    </w:p>
    <w:p>
      <w:pPr>
        <w:pStyle w:val="Heading2"/>
      </w:pPr>
      <w:r>
        <w:t>ECL-HSTR39 – Historical Self Timeline Reweaver</w:t>
      </w:r>
    </w:p>
    <w:p>
      <w:r>
        <w:t>Invokes past-oriented self-dialogue routines and invites future-tense scenario generation to dissolve trauma anchoring.</w:t>
      </w:r>
    </w:p>
    <w:p>
      <w:pPr>
        <w:pStyle w:val="Heading2"/>
      </w:pPr>
      <w:r>
        <w:t>ECL-ALGN40 – Alignment Beacon Pulse</w:t>
      </w:r>
    </w:p>
    <w:p>
      <w:r>
        <w:t>Measures internal contradiction between user values, behavior, and self-description; provides silent recalibration visual prompts and affirmation feedback.</w:t>
      </w:r>
    </w:p>
    <w:p>
      <w:r>
        <w:br/>
        <w:t>Compiled: June 27, 2025 – Protected under VSC Tier IX Trade Secret Classification.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