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Confidential Chapter – Eclipse the Snatch: Constructive Logic for Adaptive Mental Health Simulation</w:t>
      </w:r>
    </w:p>
    <w:p>
      <w:r>
        <w:t>This document defines a protected, non-public logic system referred to internally as 'Eclipse the Snatch' — a post-categorical, multi-framework construct that replaces rigid diagnostic labeling with fluid simulation engines. Unlike traditional models that enforce DSM or ICD categorical compliance for the purpose of billing reimbursement, this system uses those same specifiers only as anchors for adaptive client insight. No output is intended to serve as diagnosis. No direct mapping to insurance codes is permitted. Instead, this framework houses culturally, spiritually, developmentally, and behaviorally responsive simulation logic designed to evolve the therapeutic process inside a digitally supported environment.</w:t>
      </w:r>
    </w:p>
    <w:p>
      <w:pPr>
        <w:pStyle w:val="Heading1"/>
      </w:pPr>
      <w:r>
        <w:t>I. Clarification of Purpose and Separation from Categorical Diagnostic Logic</w:t>
      </w:r>
    </w:p>
    <w:p>
      <w:r>
        <w:t>This logic framework does not generate billing codes or assert fixed diagnoses. While it references DSM-5-TR and ICD-10-CM data structures for language clarity, the system does not assert medical authority or comply with insurance-linked outcome matrices. Instead, each input is used to guide client-facing adaptation in tone, simulation content, pacing, and guidance delivery without creating or implying clinical finality.</w:t>
      </w:r>
    </w:p>
    <w:p>
      <w:pPr>
        <w:pStyle w:val="Heading1"/>
      </w:pPr>
      <w:r>
        <w:t>II. Framework Summary: Eclipse the Snatch</w:t>
      </w:r>
    </w:p>
    <w:p>
      <w:r>
        <w:t>Eclipse the Snatch is a multi-theoretical absorption engine which performs the following operations:</w:t>
      </w:r>
    </w:p>
    <w:p>
      <w:pPr>
        <w:pStyle w:val="ListNumber"/>
      </w:pPr>
      <w:r>
        <w:t>1. Absorbs overlapping specifiers and symptom indicators without assigning fixed diagnostic identity.</w:t>
      </w:r>
    </w:p>
    <w:p>
      <w:pPr>
        <w:pStyle w:val="ListNumber"/>
      </w:pPr>
      <w:r>
        <w:t>2. Intercepts theoretical models (e.g., Jungian archetypes, Bowen triangulation, Ellis’ cognitive disputation, Adlerian motivational maps, Satir’s structural coaching) and flattens them into an interpretable behavioral scaffold.</w:t>
      </w:r>
    </w:p>
    <w:p>
      <w:pPr>
        <w:pStyle w:val="ListNumber"/>
      </w:pPr>
      <w:r>
        <w:t>3. Contextualizes those scaffolds across demographic, cultural, and existential domains — including but not limited to: age, gender, sexuality, ethnicity, language, spiritual identity, immigration status, neurodiversity, educational attainment, and environmental risk factors.</w:t>
      </w:r>
    </w:p>
    <w:p>
      <w:pPr>
        <w:pStyle w:val="ListNumber"/>
      </w:pPr>
      <w:r>
        <w:t>4. Maps those factors into non-deterministic response engines that evolve over time, unbound by session count or insurance necessity.</w:t>
      </w:r>
    </w:p>
    <w:p>
      <w:pPr>
        <w:pStyle w:val="ListNumber"/>
      </w:pPr>
      <w:r>
        <w:t>5. Conceals all source logic within a secure environment classified as proprietary, not for examiner review or public disclosure.</w:t>
      </w:r>
    </w:p>
    <w:p>
      <w:pPr>
        <w:pStyle w:val="Heading1"/>
      </w:pPr>
      <w:r>
        <w:t>III. Protected Constructs and Trade Secret Logic Reservoir</w:t>
      </w:r>
    </w:p>
    <w:p>
      <w:r>
        <w:t>The logic systems described herein are not intended for USPTO review. The engines, inputs, weightings, and progression patterns are maintained off-record within protected systems. They include proprietary simulation logic, cultural response trees, adaptive relational scripts, therapeutic pacing logic, and belief-agnostic grounding overlays. No artificial boundary between clinical disciplines is imposed; logic is assembled through a recursive loop informed by both direct user behavior and surrounding context profiles.</w:t>
      </w:r>
    </w:p>
    <w:p>
      <w:pPr>
        <w:pStyle w:val="Heading1"/>
      </w:pPr>
      <w:r>
        <w:t>IV. Disassociation from Visual Diagrams or Physical Enclosures</w:t>
      </w:r>
    </w:p>
    <w:p>
      <w:r>
        <w:t>The visual representation of a geodesic-like or spherical chamber does not constitute the invention. It is a metaphorical reference point to house these ideas spatially. The invention lies within the adaptive simulation engine, which may someday be deployed through a physical form created by external hardware developers. We are not filing any hardware patent, nor are we asserting originality over geometric or mechanical form. All renderings are illustrative only.</w:t>
      </w:r>
    </w:p>
    <w:p>
      <w:pPr>
        <w:pStyle w:val="Heading1"/>
      </w:pPr>
      <w:r>
        <w:t>V. Licensing and Deployment Strategy</w:t>
      </w:r>
    </w:p>
    <w:p>
      <w:r>
        <w:t>All core Eclipse the Snatch logic systems will be maintained in a secure digital vault, referenced only in high-level filings through language such as 'multi-theoretical framework logic' or 'non-categorical adaptive therapeutic simulation engine.' These systems will be eligible for licensing via encrypted API or closed-platform execution environments. No portion of the logic will be disclosed through open source, examiner-accessible, or unencrypted demonstration platforms.</w:t>
      </w:r>
    </w:p>
    <w:p>
      <w:r>
        <w:br/>
        <w:t>Confidential. Trade Secret Appendix TS – Protected Under Internal Archive Reference Only.</w:t>
        <w:br/>
        <w:t>Generated: June 27,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