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332"/>
          <w:sz w:val="72"/>
          <w:szCs w:val="72"/>
        </w:rPr>
        <w:t xml:space="preserve">FINDE</w:t>
      </w:r>
    </w:p>
    <w:p>
      <w:pPr>
        <w:spacing w:after="100"/>
        <w:jc w:val="center"/>
      </w:pPr>
      <w:r>
        <w:rPr>
          <w:rFonts w:ascii="Arial" w:cs="Arial" w:eastAsia="Arial" w:hAnsi="Arial"/>
          <w:color w:val="C7613A"/>
          <w:sz w:val="32"/>
          <w:szCs w:val="32"/>
        </w:rPr>
        <w:t xml:space="preserve">Marketplace de Tours y Experiencias en Perú</w:t>
      </w:r>
    </w:p>
    <w:p>
      <w:pPr>
        <w:spacing w:after="400"/>
      </w:pPr>
    </w:p>
    <w:p>
      <w:pPr>
        <w:jc w:val="center"/>
      </w:pPr>
      <w:r>
        <w:rPr>
          <w:color w:val="D4A843"/>
          <w:sz w:val="20"/>
          <w:szCs w:val="20"/>
        </w:rPr>
        <w:t xml:space="preserve">────────────────────────────────────────</w:t>
      </w:r>
    </w:p>
    <w:p>
      <w:pPr>
        <w:spacing w:after="300"/>
      </w:pPr>
    </w:p>
    <w:p>
      <w:pPr>
        <w:spacing w:after="160"/>
        <w:jc w:val="center"/>
      </w:pPr>
      <w:r>
        <w:rPr>
          <w:rFonts w:ascii="Arial" w:cs="Arial" w:eastAsia="Arial" w:hAnsi="Arial"/>
          <w:b/>
          <w:bCs/>
          <w:color w:val="2D2D2D"/>
          <w:sz w:val="44"/>
          <w:szCs w:val="44"/>
        </w:rPr>
        <w:t xml:space="preserve">REGLAS DE NEGOCIO</w:t>
      </w:r>
    </w:p>
    <w:p>
      <w:pPr>
        <w:spacing w:after="80"/>
        <w:jc w:val="center"/>
      </w:pPr>
      <w:r>
        <w:rPr>
          <w:rFonts w:ascii="Arial" w:cs="Arial" w:eastAsia="Arial" w:hAnsi="Arial"/>
          <w:color w:val="6B7280"/>
          <w:sz w:val="22"/>
          <w:szCs w:val="22"/>
        </w:rPr>
        <w:t xml:space="preserve">Comisiones · Cancelaciones · Reembolsos · Disputas · Compliance</w:t>
      </w:r>
    </w:p>
    <w:p>
      <w:pPr>
        <w:spacing w:after="600"/>
      </w:pPr>
    </w:p>
    <w:p>
      <w:pPr>
        <w:spacing w:after="80"/>
        <w:jc w:val="center"/>
      </w:pPr>
      <w:r>
        <w:rPr>
          <w:rFonts w:ascii="Arial" w:cs="Arial" w:eastAsia="Arial" w:hAnsi="Arial"/>
          <w:color w:val="6B7280"/>
          <w:sz w:val="22"/>
          <w:szCs w:val="22"/>
        </w:rPr>
        <w:t xml:space="preserve">Versión 1.2 · Mayo 2026</w:t>
      </w:r>
    </w:p>
    <w:p>
      <w:pPr>
        <w:jc w:val="center"/>
      </w:pPr>
      <w:r>
        <w:rPr>
          <w:rFonts w:ascii="Arial" w:cs="Arial" w:eastAsia="Arial" w:hAnsi="Arial"/>
          <w:i/>
          <w:iCs/>
          <w:color w:val="C7613A"/>
          <w:sz w:val="20"/>
          <w:szCs w:val="20"/>
        </w:rPr>
        <w:t xml:space="preserve">Documento Confidencial</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Principio rector</w:t>
            </w:r>
          </w:p>
          <w:p>
            <w:r>
              <w:rPr>
                <w:rFonts w:ascii="Arial" w:cs="Arial" w:eastAsia="Arial" w:hAnsi="Arial"/>
                <w:color w:val="2D2D2D"/>
                <w:sz w:val="20"/>
                <w:szCs w:val="20"/>
              </w:rPr>
              <w:t xml:space="preserve">Finde cobra 15% de comisión base — 5 a 15 puntos por debajo de Viator, GetYourGuide, Klook y Airbnb Experiences — complementado con SaaS para agencias (25% del revenue) y servicios B2G municipales (15% del revenue). El take rate efectivo objetivo (blended) es 18-22%.</w:t>
            </w:r>
          </w:p>
        </w:tc>
      </w:tr>
    </w:tbl>
    <w:p>
      <w:pPr>
        <w:spacing w:after="120"/>
      </w:pPr>
    </w:p>
    <w:p>
      <w:pPr>
        <w:spacing w:after="160"/>
      </w:pPr>
      <w:r>
        <w:rPr>
          <w:rFonts w:ascii="Arial" w:cs="Arial" w:eastAsia="Arial" w:hAnsi="Arial"/>
          <w:color w:val="2D2D2D"/>
          <w:sz w:val="22"/>
          <w:szCs w:val="22"/>
        </w:rPr>
        <w:t xml:space="preserve">Este documento establece las reglas de negocio completas para la operación del marketplace Finde en Perú. Cubre la estructura de comisiones, políticas de cancelación y reembolso, flujo de liquidación a agencias, sistema de disputas, verificación de agencias, pricing, penalidades, y compliance regulatorio peruano.</w:t>
      </w:r>
    </w:p>
    <w:p>
      <w:pPr>
        <w:spacing w:after="160"/>
      </w:pPr>
      <w:r>
        <w:rPr>
          <w:rFonts w:ascii="Arial" w:cs="Arial" w:eastAsia="Arial" w:hAnsi="Arial"/>
          <w:b/>
          <w:bCs/>
          <w:color w:val="2D2D2D"/>
          <w:sz w:val="22"/>
          <w:szCs w:val="22"/>
        </w:rPr>
        <w:t xml:space="preserve">Contexto de mercado: </w:t>
      </w:r>
      <w:r>
        <w:rPr>
          <w:rFonts w:ascii="Arial" w:cs="Arial" w:eastAsia="Arial" w:hAnsi="Arial"/>
          <w:color w:val="2D2D2D"/>
          <w:sz w:val="22"/>
          <w:szCs w:val="22"/>
        </w:rPr>
        <w:t xml:space="preserve">El mercado global de tours vale USD $300B, pero más del 90% de las reservas aún ocurren offline. En Perú, el 54% de las agencias de tour son informales, no existe una plataforma local dominante, y las OTAs globales (Viator, GetYourGuide, Civitatis+Rappi) no aceptan Yape/Plin ni atienden adecuadamente al turismo interno peruano.</w:t>
      </w:r>
    </w:p>
    <w:p>
      <w:pPr>
        <w:spacing w:after="160"/>
      </w:pPr>
      <w:r>
        <w:rPr>
          <w:rFonts w:ascii="Arial" w:cs="Arial" w:eastAsia="Arial" w:hAnsi="Arial"/>
          <w:b/>
          <w:bCs/>
          <w:color w:val="2D2D2D"/>
          <w:sz w:val="22"/>
          <w:szCs w:val="22"/>
        </w:rPr>
        <w:t xml:space="preserve">Parámetros base: </w:t>
      </w:r>
      <w:r>
        <w:rPr>
          <w:rFonts w:ascii="Arial" w:cs="Arial" w:eastAsia="Arial" w:hAnsi="Arial"/>
          <w:color w:val="2D2D2D"/>
          <w:sz w:val="22"/>
          <w:szCs w:val="22"/>
        </w:rPr>
        <w:t xml:space="preserve">Ticket promedio S/150 (rango S/80-250). Comisión marketplace 15%. Liquidación quincenal. Yape/Plin como eje de pagos. Moneda única: soles (S/). Triple revenue: marketplace 60% + SaaS 25% + B2G 15%.</w:t>
      </w:r>
    </w:p>
    <w:p>
      <w:pPr>
        <w:pStyle w:val="Heading2"/>
      </w:pPr>
      <w:r>
        <w:t xml:space="preserve">1.1 Fases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1: Lanzamiento</w:t>
            </w:r>
          </w:p>
        </w:tc>
        <w:tc>
          <w:tcPr>
            <w:tcW w:type="dxa" w:w="35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2: Crecimiento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Agencias objetivo</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20-100 en Lima, Ica, Cusco</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100-900 a nivel nacional</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Herramientas SaaS</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TODO habilitado gratis para todas las agencias</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introduce tier Free (limitado) y Premium (S/99/mes)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Comisión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 fijo</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 base + listings premium opcionales</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Retención de seguridad</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Sin retención (confianza primero)</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Rolling reserve 5-10% para agencias nuevas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Descuentos y promos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Sin descuentos automáticos ni códigos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Descuentos por grupo, early bird, last minute, códigos</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Payout</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Transferencia CCI quincenal</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CCI quincenal + automatización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Soporte disputas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Manual vía WhatsApp</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Sistema automatizado + Case Manager</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Verificación</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 niveles: Basic y Verificado</w:t>
            </w:r>
          </w:p>
        </w:tc>
        <w:tc>
          <w:tcPr>
            <w:tcW w:type="dxa" w:w="35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agrega Finde Trusted (Nivel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Estrategia Fase 1</w:t>
            </w:r>
          </w:p>
          <w:p>
            <w:r>
              <w:rPr>
                <w:rFonts w:ascii="Arial" w:cs="Arial" w:eastAsia="Arial" w:hAnsi="Arial"/>
                <w:color w:val="2D2D2D"/>
                <w:sz w:val="20"/>
                <w:szCs w:val="20"/>
              </w:rPr>
              <w:t xml:space="preserve">En el lanzamiento, todas las herramientas están habilitadas gratis para todas las agencias. No se retiene dinero. No hay descuentos automáticos ni códigos promocionales. El foco es maximizar adopción, generar confianza y volumen. La monetización SaaS, retenciones de seguridad, descuentos y nivel Trusted se introducen en Fase 2.</w:t>
            </w:r>
          </w:p>
        </w:tc>
      </w:tr>
    </w:tbl>
    <w:p>
      <w:pPr>
        <w:spacing w:after="120"/>
      </w:pPr>
    </w:p>
    <w:p>
      <w:r>
        <w:br w:type="page"/>
      </w:r>
    </w:p>
    <w:p>
      <w:pPr>
        <w:pStyle w:val="Heading1"/>
      </w:pPr>
      <w:r>
        <w:t xml:space="preserve">2. Estructura de Comisiones y Revenue</w:t>
      </w:r>
    </w:p>
    <w:p>
      <w:pPr>
        <w:pStyle w:val="Heading2"/>
      </w:pPr>
      <w:r>
        <w:t xml:space="preserve">2.1 Benchmark global de comisiones</w:t>
      </w:r>
    </w:p>
    <w:p>
      <w:pPr>
        <w:spacing w:after="160"/>
      </w:pPr>
      <w:r>
        <w:rPr>
          <w:rFonts w:ascii="Arial" w:cs="Arial" w:eastAsia="Arial" w:hAnsi="Arial"/>
          <w:color w:val="2D2D2D"/>
          <w:sz w:val="22"/>
          <w:szCs w:val="22"/>
        </w:rPr>
        <w:t xml:space="preserve">El 15% de Finde es el más bajo del mercado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200"/>
        <w:gridCol w:w="3460"/>
      </w:tblGrid>
      <w:tr>
        <w:trPr>
          <w:tblHeader/>
        </w:trPr>
        <w:tc>
          <w:tcPr>
            <w:tcW w:type="dxa" w:w="21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w:t>
            </w:r>
          </w:p>
        </w:tc>
        <w:tc>
          <w:tcPr>
            <w:tcW w:type="dxa" w:w="1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Comisión</w:t>
            </w:r>
          </w:p>
        </w:tc>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w:t>
            </w:r>
          </w:p>
        </w:tc>
        <w:tc>
          <w:tcPr>
            <w:tcW w:type="dxa" w:w="34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Viator (TripAdvisor)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20-25% base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Comisión pura</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Accelerate sube hasta 30%. Cobra US$29/listing nuevo</w:t>
            </w:r>
          </w:p>
        </w:tc>
      </w:tr>
      <w:tr>
        <w:tc>
          <w:tcPr>
            <w:tcW w:type="dxa" w:w="21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GetYourGuide</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20-30%</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Comisión pura</w:t>
            </w:r>
          </w:p>
        </w:tc>
        <w:tc>
          <w:tcPr>
            <w:tcW w:type="dxa" w:w="34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Cobra 2% extra si quieres pago quincenal en vez de mensual</w:t>
            </w:r>
          </w:p>
        </w:tc>
      </w:tr>
      <w:tr>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Klook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15-35%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Negociado por vol.</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 solo para atracciones de altísimo volumen</w:t>
            </w:r>
          </w:p>
        </w:tc>
      </w:tr>
      <w:tr>
        <w:tc>
          <w:tcPr>
            <w:tcW w:type="dxa" w:w="21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Airbnb Experiences</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20% plano</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Comisión plana</w:t>
            </w:r>
          </w:p>
        </w:tc>
        <w:tc>
          <w:tcPr>
            <w:tcW w:type="dxa" w:w="34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Modelo relanzado 2025</w:t>
            </w:r>
          </w:p>
        </w:tc>
      </w:tr>
      <w:tr>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Civitatis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20-25% 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Comisión + Rappi</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Principal amenaza en LATAM hispano</w:t>
            </w:r>
          </w:p>
        </w:tc>
      </w:tr>
      <w:tr>
        <w:tc>
          <w:tcPr>
            <w:tcW w:type="dxa" w:w="21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Headout</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22-30%</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Comisión variable</w:t>
            </w:r>
          </w:p>
        </w:tc>
        <w:tc>
          <w:tcPr>
            <w:tcW w:type="dxa" w:w="34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Foco en atracciones urbanas</w:t>
            </w:r>
          </w:p>
        </w:tc>
      </w:tr>
      <w:tr>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Denomades (Chile)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15-20% 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Comisión LATAM</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3,000+ tours, líder regional</w:t>
            </w:r>
          </w:p>
        </w:tc>
      </w:tr>
      <w:tr>
        <w:tc>
          <w:tcPr>
            <w:tcW w:type="dxa" w:w="21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Finde</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15% base</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Comisión + SaaS + B2G</w:t>
            </w:r>
          </w:p>
        </w:tc>
        <w:tc>
          <w:tcPr>
            <w:tcW w:type="dxa" w:w="34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El más bajo del mercado</w:t>
            </w:r>
          </w:p>
        </w:tc>
      </w:tr>
    </w:tbl>
    <w:p>
      <w:pPr>
        <w:spacing w:after="120"/>
      </w:pPr>
    </w:p>
    <w:p>
      <w:pPr>
        <w:pStyle w:val="Heading2"/>
      </w:pPr>
      <w:r>
        <w:t xml:space="preserve">2.2 Qué pasa con cada S/150 que paga un viajero</w:t>
      </w:r>
    </w:p>
    <w:p>
      <w:pPr>
        <w:spacing w:after="160"/>
      </w:pPr>
      <w:r>
        <w:rPr>
          <w:rFonts w:ascii="Arial" w:cs="Arial" w:eastAsia="Arial" w:hAnsi="Arial"/>
          <w:color w:val="2D2D2D"/>
          <w:sz w:val="22"/>
          <w:szCs w:val="22"/>
        </w:rPr>
        <w:t xml:space="preserve">Desglose económico de una transacción 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Monto (S/)</w:t>
            </w:r>
          </w:p>
        </w:tc>
        <w:tc>
          <w:tcPr>
            <w:tcW w:type="dxa" w:w="46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Explicación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Precio del tour (paga el viajero)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150.00</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Precio final que ve el viajero, sin cargos ocultos</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Comisión Finde (15%)</w:t>
            </w:r>
          </w:p>
        </w:tc>
        <w:tc>
          <w:tcPr>
            <w:tcW w:type="dxa" w:w="15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22.50</w:t>
            </w:r>
          </w:p>
        </w:tc>
        <w:tc>
          <w:tcPr>
            <w:tcW w:type="dxa" w:w="4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Lo que Finde se queda de cada venta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IGV sobre la comisión (18%)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-4.05</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 paga IGV solo sobre sus S/22.50, NO sobre los S/150</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Costo pasarela de pagos (~4%)</w:t>
            </w:r>
          </w:p>
        </w:tc>
        <w:tc>
          <w:tcPr>
            <w:tcW w:type="dxa" w:w="15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-6.00</w:t>
            </w:r>
          </w:p>
        </w:tc>
        <w:tc>
          <w:tcPr>
            <w:tcW w:type="dxa" w:w="4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Lo que cobra Culqi/Yape Empresa por procesar el pago</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Ganancia neta Finde por venta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12.45</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Antes de costos fijos (equipo, hosting, marketing)</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Pago a la agencia</w:t>
            </w:r>
          </w:p>
        </w:tc>
        <w:tc>
          <w:tcPr>
            <w:tcW w:type="dxa" w:w="15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127.50</w:t>
            </w:r>
          </w:p>
        </w:tc>
        <w:tc>
          <w:tcPr>
            <w:tcW w:type="dxa" w:w="4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La agencia recibe el 85% del precio del tour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Regla tributaria crítica</w:t>
            </w:r>
          </w:p>
          <w:p>
            <w:r>
              <w:rPr>
                <w:rFonts w:ascii="Arial" w:cs="Arial" w:eastAsia="Arial" w:hAnsi="Arial"/>
                <w:color w:val="2D2D2D"/>
                <w:sz w:val="20"/>
                <w:szCs w:val="20"/>
              </w:rPr>
              <w:t xml:space="preserve">Finde emite factura electrónica a la agencia por S/22.50 + IGV = S/26.55 (solo la comisión). La agencia emite su propio comprobante al viajero por S/150 bajo su régimen tributario (NRUS, RER, RMT o Régimen General). Finde NUNCA factura el valor total del tour.</w:t>
            </w:r>
          </w:p>
        </w:tc>
      </w:tr>
    </w:tbl>
    <w:p>
      <w:pPr>
        <w:spacing w:after="120"/>
      </w:pPr>
    </w:p>
    <w:p>
      <w:pPr>
        <w:pStyle w:val="Heading2"/>
      </w:pPr>
      <w:r>
        <w:t xml:space="preserve">2.3 Triple motor de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300"/>
        <w:gridCol w:w="256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Motor</w:t>
            </w:r>
          </w:p>
        </w:tc>
        <w:tc>
          <w:tcPr>
            <w:tcW w:type="dxa" w:w="1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 Revenue</w:t>
            </w:r>
          </w:p>
        </w:tc>
        <w:tc>
          <w:tcPr>
            <w:tcW w:type="dxa" w:w="3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2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Precio</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Marketplace (comisiones)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60%</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 sobre cada reserva confirmada y ejecutada</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 por transacción</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SaaS para agencias</w:t>
            </w:r>
          </w:p>
        </w:tc>
        <w:tc>
          <w:tcPr>
            <w:tcW w:type="dxa" w:w="13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25%</w:t>
            </w:r>
          </w:p>
        </w:tc>
        <w:tc>
          <w:tcPr>
            <w:tcW w:type="dxa" w:w="33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Gratis en Fase 1. Premium en Fase 2</w:t>
            </w:r>
          </w:p>
        </w:tc>
        <w:tc>
          <w:tcPr>
            <w:tcW w:type="dxa" w:w="25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S/99/mes (Fase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B2G municipal + publicidad</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15%</w:t>
            </w:r>
          </w:p>
        </w:tc>
        <w:tc>
          <w:tcPr>
            <w:tcW w:type="dxa" w:w="3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Posicionamiento digital para municipios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S/3,500/mes por municipio</w:t>
            </w:r>
          </w:p>
        </w:tc>
      </w:tr>
    </w:tbl>
    <w:p>
      <w:pPr>
        <w:spacing w:after="120"/>
      </w:pPr>
    </w:p>
    <w:p>
      <w:pPr>
        <w:pStyle w:val="Heading2"/>
      </w:pPr>
      <w:r>
        <w:t xml:space="preserve">2.4 Herramientas para agencias</w:t>
      </w:r>
    </w:p>
    <w:p>
      <w:pPr>
        <w:spacing w:after="160"/>
      </w:pPr>
      <w:r>
        <w:rPr>
          <w:rFonts w:ascii="Arial" w:cs="Arial" w:eastAsia="Arial" w:hAnsi="Arial"/>
          <w:b/>
          <w:bCs/>
          <w:color w:val="2D2D2D"/>
          <w:sz w:val="22"/>
          <w:szCs w:val="22"/>
        </w:rPr>
        <w:t xml:space="preserve">Fase 1 (Lanzamiento): </w:t>
      </w:r>
      <w:r>
        <w:rPr>
          <w:rFonts w:ascii="Arial" w:cs="Arial" w:eastAsia="Arial" w:hAnsi="Arial"/>
          <w:color w:val="2D2D2D"/>
          <w:sz w:val="22"/>
          <w:szCs w:val="22"/>
        </w:rPr>
        <w:t xml:space="preserve">Todas las herramientas habilitadas sin costo para todas las agencias. El objetivo es maximizar adopción y que las agencias vean el valor completo de la plataforma antes de introducir tiers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19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1 (Lanzamiento)</w:t>
            </w:r>
          </w:p>
        </w:tc>
        <w:tc>
          <w:tcPr>
            <w:tcW w:type="dxa" w:w="19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2 — Free</w:t>
            </w:r>
          </w:p>
        </w:tc>
        <w:tc>
          <w:tcPr>
            <w:tcW w:type="dxa" w:w="29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 2 — Premium (S/99/mes)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Perfil de agencia</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Tours publicados</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Ilimitados</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Máximo 3</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Ilimitados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Calendario de disponibilidad</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Completo</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Básico</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Avanzado + Google Calendar</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Cobros Yape/Plin</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Gestión de reservas + WhatsApp</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Dashboard de ingresos</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 con gráficos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Manifiesto + QR scanner</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Analytics avanzados</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Reportes SUNAT automatizados</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de disponibilidad</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bl>
    <w:p>
      <w:pPr>
        <w:spacing w:after="120"/>
      </w:pPr>
    </w:p>
    <w:p>
      <w:pPr>
        <w:spacing w:after="160"/>
      </w:pPr>
      <w:r>
        <w:rPr>
          <w:rFonts w:ascii="Arial" w:cs="Arial" w:eastAsia="Arial" w:hAnsi="Arial"/>
          <w:b/>
          <w:bCs/>
          <w:color w:val="2D2D2D"/>
          <w:sz w:val="22"/>
          <w:szCs w:val="22"/>
        </w:rPr>
        <w:t xml:space="preserve">Reglas de pricing: </w:t>
      </w:r>
      <w:r>
        <w:rPr>
          <w:rFonts w:ascii="Arial" w:cs="Arial" w:eastAsia="Arial" w:hAnsi="Arial"/>
          <w:color w:val="2D2D2D"/>
          <w:sz w:val="22"/>
          <w:szCs w:val="22"/>
        </w:rPr>
        <w:t xml:space="preserve">No cobrar listing fee fijo. No cobrar fee al viajero. Absorber el costo de Yape/Plin como pasarela default para maximizar conversión.</w:t>
      </w:r>
    </w:p>
    <w:p>
      <w:r>
        <w:br w:type="page"/>
      </w:r>
    </w:p>
    <w:p>
      <w:pPr>
        <w:pStyle w:val="Heading1"/>
      </w:pPr>
      <w:r>
        <w:t xml:space="preserve">3. Política de Cancelación y Reembolso</w:t>
      </w:r>
    </w:p>
    <w:p>
      <w:pPr>
        <w:pStyle w:val="Heading2"/>
      </w:pPr>
      <w:r>
        <w:t xml:space="preserve">3.1 Por qué toda reserva necesita política de cancelación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Importante: la política de cancelación es obligatoria</w:t>
            </w:r>
          </w:p>
          <w:p>
            <w:r>
              <w:rPr>
                <w:rFonts w:ascii="Arial" w:cs="Arial" w:eastAsia="Arial" w:hAnsi="Arial"/>
                <w:color w:val="2D2D2D"/>
                <w:sz w:val="20"/>
                <w:szCs w:val="20"/>
              </w:rPr>
              <w:t xml:space="preserve">INDECOPI exige que el consumidor conozca las condiciones de cancelación ANTES de comprar (Código del Consumidor, Art. 18-20). Si Finde no publica política, el viajero puede reclamar reembolso total en cualquier momento y ganaría. La solución: la agencia elige qué política aplicar a cada tour, incluyendo “No reembolsable” para tours donde compran permisos con anticipación.</w:t>
            </w:r>
          </w:p>
        </w:tc>
      </w:tr>
    </w:tbl>
    <w:p>
      <w:pPr>
        <w:spacing w:after="120"/>
      </w:pPr>
    </w:p>
    <w:p>
      <w:pPr>
        <w:pStyle w:val="Heading2"/>
      </w:pPr>
      <w:r>
        <w:t xml:space="preserve">3.2 Cuatro opciones de cancelación (la agencia elige)</w:t>
      </w:r>
    </w:p>
    <w:p>
      <w:pPr>
        <w:spacing w:after="160"/>
      </w:pPr>
      <w:r>
        <w:rPr>
          <w:rFonts w:ascii="Arial" w:cs="Arial" w:eastAsia="Arial" w:hAnsi="Arial"/>
          <w:color w:val="2D2D2D"/>
          <w:sz w:val="22"/>
          <w:szCs w:val="22"/>
        </w:rPr>
        <w:t xml:space="preserve">Cada agencia selecciona la política que aplica a cada uno de sus tours al momento de crearlos. Finde recomienda Flexible como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Política</w:t>
            </w:r>
          </w:p>
        </w:tc>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funciona el reembolso</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Ideal para</w:t>
            </w:r>
          </w:p>
        </w:tc>
        <w:tc>
          <w:tcPr>
            <w:tcW w:type="dxa" w:w="21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 Catálogo recomendado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FLEXIBLE (recomendada)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 si cancela 24+ horas antes del tour. 0% con menos de 24h o si no se presenta.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City tours, food tours, half-day (Lima, Cusco, Arequipa)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60-75%</w:t>
            </w:r>
          </w:p>
        </w:tc>
      </w:tr>
      <w:tr>
        <w:tc>
          <w:tcPr>
            <w:tcW w:type="dxa" w:w="20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MODERADA</w:t>
            </w:r>
          </w:p>
        </w:tc>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100% si cancela 72+ horas antes. 50% entre 72 y 24 horas. 0% con menos de 24h.</w:t>
            </w:r>
          </w:p>
        </w:tc>
        <w:tc>
          <w:tcPr>
            <w:tcW w:type="dxa" w:w="2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Tours día completo, Valle Sagrado, Islas Ballestas, tours con transporte contratado</w:t>
            </w:r>
          </w:p>
        </w:tc>
        <w:tc>
          <w:tcPr>
            <w:tcW w:type="dxa" w:w="2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15-20%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ESTRICTA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100% si cancela 30+ días antes. 50% entre 15 y 30 días. 0% con menos de 15 días.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Inca Trail, Salkantay, Choquequirao, tours multi-día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5-10%</w:t>
            </w:r>
          </w:p>
        </w:tc>
      </w:tr>
      <w:tr>
        <w:tc>
          <w:tcPr>
            <w:tcW w:type="dxa" w:w="20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NO REEMBOLSABLE</w:t>
            </w:r>
          </w:p>
        </w:tc>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Sin devolución bajo ninguna circunstancia (excepto fuerza mayor o cancelación por la agencia).</w:t>
            </w:r>
          </w:p>
        </w:tc>
        <w:tc>
          <w:tcPr>
            <w:tcW w:type="dxa" w:w="2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Tours con permisos/entradas prepagadas (ej: Machu Picchu con boleto incluido)</w:t>
            </w:r>
          </w:p>
        </w:tc>
        <w:tc>
          <w:tcPr>
            <w:tcW w:type="dxa" w:w="2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5-10%</w:t>
            </w:r>
          </w:p>
        </w:tc>
      </w:tr>
    </w:tbl>
    <w:p>
      <w:pPr>
        <w:spacing w:after="120"/>
      </w:pPr>
    </w:p>
    <w:p>
      <w:pPr>
        <w:spacing w:after="160"/>
      </w:pPr>
      <w:r>
        <w:rPr>
          <w:rFonts w:ascii="Arial" w:cs="Arial" w:eastAsia="Arial" w:hAnsi="Arial"/>
          <w:b/>
          <w:bCs/>
          <w:color w:val="2D2D2D"/>
          <w:sz w:val="22"/>
          <w:szCs w:val="22"/>
        </w:rPr>
        <w:t xml:space="preserve">Regla: </w:t>
      </w:r>
      <w:r>
        <w:rPr>
          <w:rFonts w:ascii="Arial" w:cs="Arial" w:eastAsia="Arial" w:hAnsi="Arial"/>
          <w:color w:val="2D2D2D"/>
          <w:sz w:val="22"/>
          <w:szCs w:val="22"/>
        </w:rPr>
        <w:t xml:space="preserve">Si la agencia no selecciona una política al crear el tour, se asigna Flexible automáticamente. La política elegida se muestra claramente al viajero ANTES de pagar.</w:t>
      </w:r>
    </w:p>
    <w:p>
      <w:pPr>
        <w:pStyle w:val="Heading2"/>
      </w:pPr>
      <w:r>
        <w:t xml:space="preserve">3.3 Cancelación por el viajero</w:t>
      </w:r>
    </w:p>
    <w:p>
      <w:pPr>
        <w:pStyle w:val="ListParagraph"/>
        <w:numPr>
          <w:ilvl w:val="0"/>
          <w:numId w:val="2"/>
        </w:numPr>
        <w:spacing w:after="100"/>
      </w:pPr>
      <w:r>
        <w:rPr>
          <w:rFonts w:ascii="Arial" w:cs="Arial" w:eastAsia="Arial" w:hAnsi="Arial"/>
          <w:b/>
          <w:bCs/>
          <w:color w:val="2D2D2D"/>
          <w:sz w:val="22"/>
          <w:szCs w:val="22"/>
        </w:rPr>
        <w:t xml:space="preserve">Dentro de ventana de reembolso: </w:t>
      </w:r>
      <w:r>
        <w:rPr>
          <w:rFonts w:ascii="Arial" w:cs="Arial" w:eastAsia="Arial" w:hAnsi="Arial"/>
          <w:color w:val="2D2D2D"/>
          <w:sz w:val="22"/>
          <w:szCs w:val="22"/>
        </w:rPr>
        <w:t xml:space="preserve">Se devuelve el monto según la política al método de pago original. Finde NO se queda con su 15% de comisión sobre reservas canceladas dentro de ventana (estándar de toda la industria).</w:t>
      </w:r>
    </w:p>
    <w:p>
      <w:pPr>
        <w:pStyle w:val="ListParagraph"/>
        <w:numPr>
          <w:ilvl w:val="0"/>
          <w:numId w:val="2"/>
        </w:numPr>
        <w:spacing w:after="100"/>
      </w:pPr>
      <w:r>
        <w:rPr>
          <w:rFonts w:ascii="Arial" w:cs="Arial" w:eastAsia="Arial" w:hAnsi="Arial"/>
          <w:b/>
          <w:bCs/>
          <w:color w:val="2D2D2D"/>
          <w:sz w:val="22"/>
          <w:szCs w:val="22"/>
        </w:rPr>
        <w:t xml:space="preserve">Fuera de ventana: </w:t>
      </w:r>
      <w:r>
        <w:rPr>
          <w:rFonts w:ascii="Arial" w:cs="Arial" w:eastAsia="Arial" w:hAnsi="Arial"/>
          <w:color w:val="2D2D2D"/>
          <w:sz w:val="22"/>
          <w:szCs w:val="22"/>
        </w:rPr>
        <w:t xml:space="preserve">Sin reembolso. La agencia recibe su pago completo menos la comisión.</w:t>
      </w:r>
    </w:p>
    <w:p>
      <w:pPr>
        <w:pStyle w:val="ListParagraph"/>
        <w:numPr>
          <w:ilvl w:val="0"/>
          <w:numId w:val="2"/>
        </w:numPr>
        <w:spacing w:after="100"/>
      </w:pPr>
      <w:r>
        <w:rPr>
          <w:rFonts w:ascii="Arial" w:cs="Arial" w:eastAsia="Arial" w:hAnsi="Arial"/>
          <w:b/>
          <w:bCs/>
          <w:color w:val="2D2D2D"/>
          <w:sz w:val="22"/>
          <w:szCs w:val="22"/>
        </w:rPr>
        <w:t xml:space="preserve">No-show (el viajero no se presenta): </w:t>
      </w:r>
      <w:r>
        <w:rPr>
          <w:rFonts w:ascii="Arial" w:cs="Arial" w:eastAsia="Arial" w:hAnsi="Arial"/>
          <w:color w:val="2D2D2D"/>
          <w:sz w:val="22"/>
          <w:szCs w:val="22"/>
        </w:rPr>
        <w:t xml:space="preserve">0% reembolso. La agencia cobra el 100%.</w:t>
      </w:r>
    </w:p>
    <w:p>
      <w:pPr>
        <w:pStyle w:val="ListParagraph"/>
        <w:numPr>
          <w:ilvl w:val="0"/>
          <w:numId w:val="2"/>
        </w:numPr>
        <w:spacing w:after="100"/>
      </w:pPr>
      <w:r>
        <w:rPr>
          <w:rFonts w:ascii="Arial" w:cs="Arial" w:eastAsia="Arial" w:hAnsi="Arial"/>
          <w:b/>
          <w:bCs/>
          <w:color w:val="2D2D2D"/>
          <w:sz w:val="22"/>
          <w:szCs w:val="22"/>
        </w:rPr>
        <w:t xml:space="preserve">Plazo para procesar la devolución: </w:t>
      </w:r>
      <w:r>
        <w:rPr>
          <w:rFonts w:ascii="Arial" w:cs="Arial" w:eastAsia="Arial" w:hAnsi="Arial"/>
          <w:color w:val="2D2D2D"/>
          <w:sz w:val="22"/>
          <w:szCs w:val="22"/>
        </w:rPr>
        <w:t xml:space="preserve">5-7 días hábiles (los bancos peruanos son más lentos que los europeos; GetYourGuide da 3-5 días pero opera con banca europea).</w:t>
      </w:r>
    </w:p>
    <w:p>
      <w:pPr>
        <w:pStyle w:val="Heading2"/>
      </w:pPr>
      <w:r>
        <w:t xml:space="preserve">3.4 Cancelación por la agencia</w:t>
      </w:r>
    </w:p>
    <w:p>
      <w:pPr>
        <w:spacing w:after="160"/>
      </w:pPr>
      <w:r>
        <w:rPr>
          <w:rFonts w:ascii="Arial" w:cs="Arial" w:eastAsia="Arial" w:hAnsi="Arial"/>
          <w:color w:val="2D2D2D"/>
          <w:sz w:val="22"/>
          <w:szCs w:val="22"/>
        </w:rPr>
        <w:t xml:space="preserve">Cuando la agencia cancela un tour ya reservado y pagado:</w:t>
      </w:r>
    </w:p>
    <w:p>
      <w:pPr>
        <w:pStyle w:val="ListParagraph"/>
        <w:numPr>
          <w:ilvl w:val="0"/>
          <w:numId w:val="2"/>
        </w:numPr>
        <w:spacing w:after="100"/>
      </w:pPr>
      <w:r>
        <w:rPr>
          <w:rFonts w:ascii="Arial" w:cs="Arial" w:eastAsia="Arial" w:hAnsi="Arial"/>
          <w:b/>
          <w:bCs/>
          <w:color w:val="2D2D2D"/>
          <w:sz w:val="22"/>
          <w:szCs w:val="22"/>
        </w:rPr>
        <w:t xml:space="preserve">Devolución automática del 100% al viajero </w:t>
      </w:r>
      <w:r>
        <w:rPr>
          <w:rFonts w:ascii="Arial" w:cs="Arial" w:eastAsia="Arial" w:hAnsi="Arial"/>
          <w:color w:val="2D2D2D"/>
          <w:sz w:val="22"/>
          <w:szCs w:val="22"/>
        </w:rPr>
        <w:t xml:space="preserve">al método de pago original, sin importar la política del tour.</w:t>
      </w:r>
    </w:p>
    <w:p>
      <w:pPr>
        <w:pStyle w:val="ListParagraph"/>
        <w:numPr>
          <w:ilvl w:val="0"/>
          <w:numId w:val="2"/>
        </w:numPr>
        <w:spacing w:after="100"/>
      </w:pPr>
      <w:r>
        <w:rPr>
          <w:rFonts w:ascii="Arial" w:cs="Arial" w:eastAsia="Arial" w:hAnsi="Arial"/>
          <w:b/>
          <w:bCs/>
          <w:color w:val="2D2D2D"/>
          <w:sz w:val="22"/>
          <w:szCs w:val="22"/>
        </w:rPr>
        <w:t xml:space="preserve">Cupón de compensación del 10% </w:t>
      </w:r>
      <w:r>
        <w:rPr>
          <w:rFonts w:ascii="Arial" w:cs="Arial" w:eastAsia="Arial" w:hAnsi="Arial"/>
          <w:color w:val="2D2D2D"/>
          <w:sz w:val="22"/>
          <w:szCs w:val="22"/>
        </w:rPr>
        <w:t xml:space="preserve">del valor de la reserva para el viajero, válido 12 meses, para cualquier tour en Finde.</w:t>
      </w:r>
    </w:p>
    <w:p>
      <w:pPr>
        <w:pStyle w:val="ListParagraph"/>
        <w:numPr>
          <w:ilvl w:val="0"/>
          <w:numId w:val="2"/>
        </w:numPr>
        <w:spacing w:after="100"/>
      </w:pPr>
      <w:r>
        <w:rPr>
          <w:rFonts w:ascii="Arial" w:cs="Arial" w:eastAsia="Arial" w:hAnsi="Arial"/>
          <w:b/>
          <w:bCs/>
          <w:color w:val="2D2D2D"/>
          <w:sz w:val="22"/>
          <w:szCs w:val="22"/>
        </w:rPr>
        <w:t xml:space="preserve">Penalidad a la agencia: 20% del valor de la reserva </w:t>
      </w:r>
      <w:r>
        <w:rPr>
          <w:rFonts w:ascii="Arial" w:cs="Arial" w:eastAsia="Arial" w:hAnsi="Arial"/>
          <w:color w:val="2D2D2D"/>
          <w:sz w:val="22"/>
          <w:szCs w:val="22"/>
        </w:rPr>
        <w:t xml:space="preserve">que se descuenta del próximo payout. Este dinero va al fondo de garantía Finde.</w:t>
      </w:r>
    </w:p>
    <w:p>
      <w:pPr>
        <w:pStyle w:val="ListParagraph"/>
        <w:numPr>
          <w:ilvl w:val="0"/>
          <w:numId w:val="2"/>
        </w:numPr>
        <w:spacing w:after="100"/>
      </w:pPr>
      <w:r>
        <w:rPr>
          <w:rFonts w:ascii="Arial" w:cs="Arial" w:eastAsia="Arial" w:hAnsi="Arial"/>
          <w:b/>
          <w:bCs/>
          <w:color w:val="2D2D2D"/>
          <w:sz w:val="22"/>
          <w:szCs w:val="22"/>
        </w:rPr>
        <w:t xml:space="preserve">Strike al historial de la agencia </w:t>
      </w:r>
      <w:r>
        <w:rPr>
          <w:rFonts w:ascii="Arial" w:cs="Arial" w:eastAsia="Arial" w:hAnsi="Arial"/>
          <w:color w:val="2D2D2D"/>
          <w:sz w:val="22"/>
          <w:szCs w:val="22"/>
        </w:rPr>
        <w:t xml:space="preserve">(ver sección 8 de penalidades).</w:t>
      </w:r>
    </w:p>
    <w:p>
      <w:pPr>
        <w:pStyle w:val="Heading2"/>
      </w:pPr>
      <w:r>
        <w:t xml:space="preserve">3.5 Fuerza mayor y clima</w:t>
      </w:r>
    </w:p>
    <w:p>
      <w:pPr>
        <w:spacing w:after="160"/>
      </w:pPr>
      <w:r>
        <w:rPr>
          <w:rFonts w:ascii="Arial" w:cs="Arial" w:eastAsia="Arial" w:hAnsi="Arial"/>
          <w:b/>
          <w:bCs/>
          <w:color w:val="2D2D2D"/>
          <w:sz w:val="22"/>
          <w:szCs w:val="22"/>
        </w:rPr>
        <w:t xml:space="preserve">Situación crítica en Perú: </w:t>
      </w:r>
      <w:r>
        <w:rPr>
          <w:rFonts w:ascii="Arial" w:cs="Arial" w:eastAsia="Arial" w:hAnsi="Arial"/>
          <w:color w:val="2D2D2D"/>
          <w:sz w:val="22"/>
          <w:szCs w:val="22"/>
        </w:rPr>
        <w:t xml:space="preserve">lluvias noviembre-marzo, huaycos, bloqueos sociales, cierres de rutas por SERNANP (Machu Picchu, caminos inca). En estos casos:</w:t>
      </w:r>
    </w:p>
    <w:p>
      <w:pPr>
        <w:pStyle w:val="ListParagraph"/>
        <w:numPr>
          <w:ilvl w:val="0"/>
          <w:numId w:val="2"/>
        </w:numPr>
        <w:spacing w:after="100"/>
      </w:pPr>
      <w:r>
        <w:rPr>
          <w:rFonts w:ascii="Arial" w:cs="Arial" w:eastAsia="Arial" w:hAnsi="Arial"/>
          <w:color w:val="2D2D2D"/>
          <w:sz w:val="22"/>
          <w:szCs w:val="22"/>
        </w:rPr>
        <w:t xml:space="preserve">El viajero puede reprogramar gratis o recibir devolución del 100%.</w:t>
      </w:r>
    </w:p>
    <w:p>
      <w:pPr>
        <w:pStyle w:val="ListParagraph"/>
        <w:numPr>
          <w:ilvl w:val="0"/>
          <w:numId w:val="2"/>
        </w:numPr>
        <w:spacing w:after="100"/>
      </w:pPr>
      <w:r>
        <w:rPr>
          <w:rFonts w:ascii="Arial" w:cs="Arial" w:eastAsia="Arial" w:hAnsi="Arial"/>
          <w:color w:val="2D2D2D"/>
          <w:sz w:val="22"/>
          <w:szCs w:val="22"/>
        </w:rPr>
        <w:t xml:space="preserve">La agencia NO recibe penalidad ni strike.</w:t>
      </w:r>
    </w:p>
    <w:p>
      <w:pPr>
        <w:pStyle w:val="ListParagraph"/>
        <w:numPr>
          <w:ilvl w:val="0"/>
          <w:numId w:val="2"/>
        </w:numPr>
        <w:spacing w:after="100"/>
      </w:pPr>
      <w:r>
        <w:rPr>
          <w:rFonts w:ascii="Arial" w:cs="Arial" w:eastAsia="Arial" w:hAnsi="Arial"/>
          <w:color w:val="2D2D2D"/>
          <w:sz w:val="22"/>
          <w:szCs w:val="22"/>
        </w:rPr>
        <w:t xml:space="preserve">Finde NO cobra comisión sobre esa reserva.</w:t>
      </w:r>
    </w:p>
    <w:p>
      <w:pPr>
        <w:pStyle w:val="ListParagraph"/>
        <w:numPr>
          <w:ilvl w:val="0"/>
          <w:numId w:val="2"/>
        </w:numPr>
        <w:spacing w:after="100"/>
      </w:pPr>
      <w:r>
        <w:rPr>
          <w:rFonts w:ascii="Arial" w:cs="Arial" w:eastAsia="Arial" w:hAnsi="Arial"/>
          <w:color w:val="2D2D2D"/>
          <w:sz w:val="22"/>
          <w:szCs w:val="22"/>
        </w:rPr>
        <w:t xml:space="preserve">Se requiere documentación verificable: reporte SENAMHI, comunicado oficial, cierre de ruta.</w:t>
      </w:r>
    </w:p>
    <w:p>
      <w:pPr>
        <w:pStyle w:val="ListParagraph"/>
        <w:numPr>
          <w:ilvl w:val="0"/>
          <w:numId w:val="2"/>
        </w:numPr>
        <w:spacing w:after="100"/>
      </w:pPr>
      <w:r>
        <w:rPr>
          <w:rFonts w:ascii="Arial" w:cs="Arial" w:eastAsia="Arial" w:hAnsi="Arial"/>
          <w:color w:val="2D2D2D"/>
          <w:sz w:val="22"/>
          <w:szCs w:val="22"/>
        </w:rPr>
        <w:t xml:space="preserve">La agencia debe marcar la cancelación como fuerza mayor con evidencia dentro de 24 horas.</w:t>
      </w:r>
    </w:p>
    <w:p>
      <w:pPr>
        <w:pStyle w:val="Heading2"/>
      </w:pPr>
      <w:r>
        <w:t xml:space="preserve">3.6 Política en temporada alta</w:t>
      </w:r>
    </w:p>
    <w:p>
      <w:pPr>
        <w:spacing w:after="160"/>
      </w:pPr>
      <w:r>
        <w:rPr>
          <w:rFonts w:ascii="Arial" w:cs="Arial" w:eastAsia="Arial" w:hAnsi="Arial"/>
          <w:color w:val="2D2D2D"/>
          <w:sz w:val="22"/>
          <w:szCs w:val="22"/>
        </w:rPr>
        <w:t xml:space="preserve">Durante las 6 ventanas de temporada alta (ver sección 7), la política de cancelación se endurece automáticamente:</w:t>
      </w:r>
    </w:p>
    <w:p>
      <w:pPr>
        <w:pStyle w:val="ListParagraph"/>
        <w:numPr>
          <w:ilvl w:val="0"/>
          <w:numId w:val="2"/>
        </w:numPr>
        <w:spacing w:after="100"/>
      </w:pPr>
      <w:r>
        <w:rPr>
          <w:rFonts w:ascii="Arial" w:cs="Arial" w:eastAsia="Arial" w:hAnsi="Arial"/>
          <w:color w:val="2D2D2D"/>
          <w:sz w:val="22"/>
          <w:szCs w:val="22"/>
        </w:rPr>
        <w:t xml:space="preserve">Reembolso solo si cancela 7+ días antes del tour.</w:t>
      </w:r>
    </w:p>
    <w:p>
      <w:pPr>
        <w:pStyle w:val="ListParagraph"/>
        <w:numPr>
          <w:ilvl w:val="0"/>
          <w:numId w:val="2"/>
        </w:numPr>
        <w:spacing w:after="100"/>
      </w:pPr>
      <w:r>
        <w:rPr>
          <w:rFonts w:ascii="Arial" w:cs="Arial" w:eastAsia="Arial" w:hAnsi="Arial"/>
          <w:color w:val="2D2D2D"/>
          <w:sz w:val="22"/>
          <w:szCs w:val="22"/>
        </w:rPr>
        <w:t xml:space="preserve">50% de reembolso entre 3 y 7 días antes.</w:t>
      </w:r>
    </w:p>
    <w:p>
      <w:pPr>
        <w:pStyle w:val="ListParagraph"/>
        <w:numPr>
          <w:ilvl w:val="0"/>
          <w:numId w:val="2"/>
        </w:numPr>
        <w:spacing w:after="100"/>
      </w:pPr>
      <w:r>
        <w:rPr>
          <w:rFonts w:ascii="Arial" w:cs="Arial" w:eastAsia="Arial" w:hAnsi="Arial"/>
          <w:color w:val="2D2D2D"/>
          <w:sz w:val="22"/>
          <w:szCs w:val="22"/>
        </w:rPr>
        <w:t xml:space="preserve">0% con menos de 72 horas.</w:t>
      </w:r>
    </w:p>
    <w:p>
      <w:r>
        <w:br w:type="page"/>
      </w:r>
    </w:p>
    <w:p>
      <w:pPr>
        <w:pStyle w:val="Heading1"/>
      </w:pPr>
      <w:r>
        <w:t xml:space="preserve">4. Disputas, Garantía Finde y Chargebacks</w:t>
      </w:r>
    </w:p>
    <w:p>
      <w:pPr>
        <w:pStyle w:val="Heading2"/>
      </w:pPr>
      <w:r>
        <w:t xml:space="preserve">4.1 Cómo funciona: Finde cobra y luego paga</w:t>
      </w:r>
    </w:p>
    <w:p>
      <w:pPr>
        <w:spacing w:after="160"/>
      </w:pPr>
      <w:r>
        <w:rPr>
          <w:rFonts w:ascii="Arial" w:cs="Arial" w:eastAsia="Arial" w:hAnsi="Arial"/>
          <w:color w:val="2D2D2D"/>
          <w:sz w:val="22"/>
          <w:szCs w:val="22"/>
        </w:rPr>
        <w:t xml:space="preserve">Finde opera como “merchant of record”. Esto significa que cuando un viajero paga, la plata va primero a Finde (a través de Culqi o la pasarela). Finde retiene su comisión del 15% y luego le transfiere el 85% restante a la agencia en el payout quincenal. Este modelo (que usan Viator, GetYourGuide, Klook y Airbnb) permite que Finde controle las devoluciones, maneje disputas y sea la contraparte oficial ante INDECOPI.</w:t>
      </w:r>
    </w:p>
    <w:p>
      <w:pPr>
        <w:pStyle w:val="Heading2"/>
      </w:pPr>
      <w:r>
        <w:t xml:space="preserve">4.2 Flujo de resolución en 7 pasos</w:t>
      </w:r>
    </w:p>
    <w:p>
      <w:pPr>
        <w:spacing w:after="160"/>
      </w:pPr>
      <w:r>
        <w:rPr>
          <w:rFonts w:ascii="Arial" w:cs="Arial" w:eastAsia="Arial" w:hAnsi="Arial"/>
          <w:color w:val="2D2D2D"/>
          <w:sz w:val="22"/>
          <w:szCs w:val="22"/>
        </w:rPr>
        <w:t xml:space="preserve">Cuando un viajero tiene un problema con un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360"/>
      </w:tblGrid>
      <w:tr>
        <w:trPr>
          <w:tblHeader/>
        </w:trPr>
        <w:tc>
          <w:tcPr>
            <w:tcW w:type="dxa" w:w="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Paso</w:t>
            </w:r>
          </w:p>
        </w:tc>
        <w:tc>
          <w:tcPr>
            <w:tcW w:type="dxa" w:w="4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pasa</w:t>
            </w:r>
          </w:p>
        </w:tc>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Plazo máximo</w:t>
            </w:r>
          </w:p>
        </w:tc>
        <w:tc>
          <w:tcPr>
            <w:tcW w:type="dxa" w:w="23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Quién actúa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El viajero reporta el problema por el chat de Finde o formulario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Hasta 72 horas después del tour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Viajero</w:t>
            </w:r>
          </w:p>
        </w:tc>
      </w:tr>
      <w:tr>
        <w:tc>
          <w:tcPr>
            <w:tcW w:type="dxa" w:w="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La agencia recibe la queja y responde</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24 horas para responder</w:t>
            </w:r>
          </w:p>
        </w:tc>
        <w:tc>
          <w:tcPr>
            <w:tcW w:type="dxa" w:w="23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Agencia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 no se ponen de acuerdo, Finde interviene como mediador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48 horas para intervenir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w:t>
            </w:r>
          </w:p>
        </w:tc>
      </w:tr>
      <w:tr>
        <w:tc>
          <w:tcPr>
            <w:tcW w:type="dxa" w:w="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recopilan pruebas: chat, fotos, voucher, lo que decía el listing</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Durante el proceso</w:t>
            </w:r>
          </w:p>
        </w:tc>
        <w:tc>
          <w:tcPr>
            <w:tcW w:type="dxa" w:w="23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Ambos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 toma una decisión aplicando las reglas publicadas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 días hábiles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w:t>
            </w:r>
          </w:p>
        </w:tc>
      </w:tr>
      <w:tr>
        <w:tc>
          <w:tcPr>
            <w:tcW w:type="dxa" w:w="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ejecuta: devolución parcial/total al viajero + strike a la agencia si corresponde</w:t>
            </w:r>
          </w:p>
        </w:tc>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Inmediato</w:t>
            </w:r>
          </w:p>
        </w:tc>
        <w:tc>
          <w:tcPr>
            <w:tcW w:type="dxa" w:w="23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Finde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Cualquiera puede apelar presentando nueva evidencia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 días para apelar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Parte afectada</w:t>
            </w:r>
          </w:p>
        </w:tc>
      </w:tr>
    </w:tbl>
    <w:p>
      <w:pPr>
        <w:spacing w:after="120"/>
      </w:pPr>
    </w:p>
    <w:p>
      <w:pPr>
        <w:pStyle w:val="Heading2"/>
      </w:pPr>
      <w:r>
        <w:t xml:space="preserve">4.3 Finde Guarantee (Garantía Finde)</w:t>
      </w:r>
    </w:p>
    <w:p>
      <w:pPr>
        <w:spacing w:after="160"/>
      </w:pPr>
      <w:r>
        <w:rPr>
          <w:rFonts w:ascii="Arial" w:cs="Arial" w:eastAsia="Arial" w:hAnsi="Arial"/>
          <w:color w:val="2D2D2D"/>
          <w:sz w:val="22"/>
          <w:szCs w:val="22"/>
        </w:rPr>
        <w:t xml:space="preserve">Similar a “AirCover” de Airbnb. Es la promesa de Finde al viajero de que su compra está protegida:</w:t>
      </w:r>
    </w:p>
    <w:p>
      <w:pPr>
        <w:pStyle w:val="ListParagraph"/>
        <w:numPr>
          <w:ilvl w:val="0"/>
          <w:numId w:val="2"/>
        </w:numPr>
        <w:spacing w:after="100"/>
      </w:pPr>
      <w:r>
        <w:rPr>
          <w:rFonts w:ascii="Arial" w:cs="Arial" w:eastAsia="Arial" w:hAnsi="Arial"/>
          <w:b/>
          <w:bCs/>
          <w:color w:val="2D2D2D"/>
          <w:sz w:val="22"/>
          <w:szCs w:val="22"/>
        </w:rPr>
        <w:t xml:space="preserve">La agencia no se presenta al tour: </w:t>
      </w:r>
      <w:r>
        <w:rPr>
          <w:rFonts w:ascii="Arial" w:cs="Arial" w:eastAsia="Arial" w:hAnsi="Arial"/>
          <w:color w:val="2D2D2D"/>
          <w:sz w:val="22"/>
          <w:szCs w:val="22"/>
        </w:rPr>
        <w:t xml:space="preserve">Devolución del 100% + cupón del 15% para otra experiencia.</w:t>
      </w:r>
    </w:p>
    <w:p>
      <w:pPr>
        <w:pStyle w:val="ListParagraph"/>
        <w:numPr>
          <w:ilvl w:val="0"/>
          <w:numId w:val="2"/>
        </w:numPr>
        <w:spacing w:after="100"/>
      </w:pPr>
      <w:r>
        <w:rPr>
          <w:rFonts w:ascii="Arial" w:cs="Arial" w:eastAsia="Arial" w:hAnsi="Arial"/>
          <w:b/>
          <w:bCs/>
          <w:color w:val="2D2D2D"/>
          <w:sz w:val="22"/>
          <w:szCs w:val="22"/>
        </w:rPr>
        <w:t xml:space="preserve">La experiencia fue muy diferente a lo publicado: </w:t>
      </w:r>
      <w:r>
        <w:rPr>
          <w:rFonts w:ascii="Arial" w:cs="Arial" w:eastAsia="Arial" w:hAnsi="Arial"/>
          <w:color w:val="2D2D2D"/>
          <w:sz w:val="22"/>
          <w:szCs w:val="22"/>
        </w:rPr>
        <w:t xml:space="preserve">Devolución parcial del 30% al 100% según la gravedad.</w:t>
      </w:r>
    </w:p>
    <w:p>
      <w:pPr>
        <w:pStyle w:val="ListParagraph"/>
        <w:numPr>
          <w:ilvl w:val="0"/>
          <w:numId w:val="2"/>
        </w:numPr>
        <w:spacing w:after="100"/>
      </w:pPr>
      <w:r>
        <w:rPr>
          <w:rFonts w:ascii="Arial" w:cs="Arial" w:eastAsia="Arial" w:hAnsi="Arial"/>
          <w:b/>
          <w:bCs/>
          <w:color w:val="2D2D2D"/>
          <w:sz w:val="22"/>
          <w:szCs w:val="22"/>
        </w:rPr>
        <w:t xml:space="preserve">Problema de seguridad comprobado: </w:t>
      </w:r>
      <w:r>
        <w:rPr>
          <w:rFonts w:ascii="Arial" w:cs="Arial" w:eastAsia="Arial" w:hAnsi="Arial"/>
          <w:color w:val="2D2D2D"/>
          <w:sz w:val="22"/>
          <w:szCs w:val="22"/>
        </w:rPr>
        <w:t xml:space="preserve">Devolución del 100% + suspensión inmediata de la agencia.</w:t>
      </w:r>
    </w:p>
    <w:p>
      <w:pPr>
        <w:pStyle w:val="ListParagraph"/>
        <w:numPr>
          <w:ilvl w:val="0"/>
          <w:numId w:val="2"/>
        </w:numPr>
        <w:spacing w:after="100"/>
      </w:pPr>
      <w:r>
        <w:rPr>
          <w:rFonts w:ascii="Arial" w:cs="Arial" w:eastAsia="Arial" w:hAnsi="Arial"/>
          <w:b/>
          <w:bCs/>
          <w:color w:val="2D2D2D"/>
          <w:sz w:val="22"/>
          <w:szCs w:val="22"/>
        </w:rPr>
        <w:t xml:space="preserve">Cobro incorrecto: </w:t>
      </w:r>
      <w:r>
        <w:rPr>
          <w:rFonts w:ascii="Arial" w:cs="Arial" w:eastAsia="Arial" w:hAnsi="Arial"/>
          <w:color w:val="2D2D2D"/>
          <w:sz w:val="22"/>
          <w:szCs w:val="22"/>
        </w:rPr>
        <w:t xml:space="preserve">Se corrige y se devuelve la diferencia.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Fondo de Garantía Finde</w:t>
            </w:r>
          </w:p>
          <w:p>
            <w:r>
              <w:rPr>
                <w:rFonts w:ascii="Arial" w:cs="Arial" w:eastAsia="Arial" w:hAnsi="Arial"/>
                <w:color w:val="2D2D2D"/>
                <w:sz w:val="20"/>
                <w:szCs w:val="20"/>
              </w:rPr>
              <w:t xml:space="preserve">Finde mantiene un fondo equivalente al 1-2% del volumen total de ventas para resolver rápidamente quejas menores (bajo S/300) sin un proceso largo. Para montos mayores a S/500, se sigue el proceso completo de mediación con evidencia.</w:t>
            </w:r>
          </w:p>
        </w:tc>
      </w:tr>
    </w:tbl>
    <w:p>
      <w:pPr>
        <w:spacing w:after="120"/>
      </w:pPr>
    </w:p>
    <w:p>
      <w:pPr>
        <w:pStyle w:val="Heading2"/>
      </w:pPr>
      <w:r>
        <w:t xml:space="preserve">4.4 Chargebacks bancarios (qué son y cómo manejarlos)</w:t>
      </w:r>
    </w:p>
    <w:p>
      <w:pPr>
        <w:spacing w:after="160"/>
      </w:pPr>
      <w:r>
        <w:rPr>
          <w:rFonts w:ascii="Arial" w:cs="Arial" w:eastAsia="Arial" w:hAnsi="Arial"/>
          <w:b/>
          <w:bCs/>
          <w:color w:val="2D2D2D"/>
          <w:sz w:val="22"/>
          <w:szCs w:val="22"/>
        </w:rPr>
        <w:t xml:space="preserve">Qué es un chargeback: </w:t>
      </w:r>
      <w:r>
        <w:rPr>
          <w:rFonts w:ascii="Arial" w:cs="Arial" w:eastAsia="Arial" w:hAnsi="Arial"/>
          <w:color w:val="2D2D2D"/>
          <w:sz w:val="22"/>
          <w:szCs w:val="22"/>
        </w:rPr>
        <w:t xml:space="preserve">Es cuando un viajero llama a su banco y dice “yo no reconozco ese cobro” o “no me dieron el servicio”. El banco le devuelve el dinero al viajero directamente y se lo quita a Finde a través de la pasarela de pagos. Es una disputa que el viajero abre con su banco en vez de con Finde.</w:t>
      </w:r>
    </w:p>
    <w:p>
      <w:pPr>
        <w:spacing w:after="160"/>
      </w:pPr>
      <w:r>
        <w:rPr>
          <w:rFonts w:ascii="Arial" w:cs="Arial" w:eastAsia="Arial" w:hAnsi="Arial"/>
          <w:b/>
          <w:bCs/>
          <w:color w:val="2D2D2D"/>
          <w:sz w:val="22"/>
          <w:szCs w:val="22"/>
        </w:rPr>
        <w:t xml:space="preserve">Cómo se defiende Finde: </w:t>
      </w:r>
      <w:r>
        <w:rPr>
          <w:rFonts w:ascii="Arial" w:cs="Arial" w:eastAsia="Arial" w:hAnsi="Arial"/>
          <w:color w:val="2D2D2D"/>
          <w:sz w:val="22"/>
          <w:szCs w:val="22"/>
        </w:rPr>
        <w:t xml:space="preserve">Finde presenta al banco las pruebas de que el servicio sí se prestó: voucher de confirmación, captura del chat, foto del check-in, confirmación de la agencia. El banco tiene hasta 90 días para resolver.</w:t>
      </w:r>
    </w:p>
    <w:p>
      <w:pPr>
        <w:spacing w:after="160"/>
      </w:pPr>
      <w:r>
        <w:rPr>
          <w:rFonts w:ascii="Arial" w:cs="Arial" w:eastAsia="Arial" w:hAnsi="Arial"/>
          <w:b/>
          <w:bCs/>
          <w:color w:val="2D2D2D"/>
          <w:sz w:val="22"/>
          <w:szCs w:val="22"/>
        </w:rPr>
        <w:t xml:space="preserve">Con Yape/Plin es menos común: </w:t>
      </w:r>
      <w:r>
        <w:rPr>
          <w:rFonts w:ascii="Arial" w:cs="Arial" w:eastAsia="Arial" w:hAnsi="Arial"/>
          <w:color w:val="2D2D2D"/>
          <w:sz w:val="22"/>
          <w:szCs w:val="22"/>
        </w:rPr>
        <w:t xml:space="preserve">Porque el viajero aprueba el pago con su código OTP de 6 dígitos, lo que hace difícil decir “yo no autorizé eso”. Los chargebacks son más frecuentes con tarjetas de crédito.</w:t>
      </w:r>
    </w:p>
    <w:p>
      <w:r>
        <w:br w:type="page"/>
      </w:r>
    </w:p>
    <w:p>
      <w:pPr>
        <w:pStyle w:val="Heading1"/>
      </w:pPr>
      <w:r>
        <w:t xml:space="preserve">5. Liquidación: Cómo y Cuándo se Paga a las Agencias</w:t>
      </w:r>
    </w:p>
    <w:p>
      <w:pPr>
        <w:pStyle w:val="Heading2"/>
      </w:pPr>
      <w:r>
        <w:t xml:space="preserve">5.1 Cómo funciona la liquidación quincenal</w:t>
      </w:r>
    </w:p>
    <w:p>
      <w:pPr>
        <w:spacing w:after="160"/>
      </w:pPr>
      <w:r>
        <w:rPr>
          <w:rFonts w:ascii="Arial" w:cs="Arial" w:eastAsia="Arial" w:hAnsi="Arial"/>
          <w:color w:val="2D2D2D"/>
          <w:sz w:val="22"/>
          <w:szCs w:val="22"/>
        </w:rPr>
        <w:t xml:space="preserve">La liquidación es el proceso por el cual Finde le transfiere a cada agencia el dinero que le corresponde de sus ventas. Funciona así:</w:t>
      </w:r>
    </w:p>
    <w:p>
      <w:pPr>
        <w:pStyle w:val="ListParagraph"/>
        <w:numPr>
          <w:ilvl w:val="0"/>
          <w:numId w:val="2"/>
        </w:numPr>
        <w:spacing w:after="100"/>
      </w:pPr>
      <w:r>
        <w:rPr>
          <w:rFonts w:ascii="Arial" w:cs="Arial" w:eastAsia="Arial" w:hAnsi="Arial"/>
          <w:b/>
          <w:bCs/>
          <w:color w:val="2D2D2D"/>
          <w:sz w:val="22"/>
          <w:szCs w:val="22"/>
        </w:rPr>
        <w:t xml:space="preserve">Paso 1 — El viajero paga: </w:t>
      </w:r>
      <w:r>
        <w:rPr>
          <w:rFonts w:ascii="Arial" w:cs="Arial" w:eastAsia="Arial" w:hAnsi="Arial"/>
          <w:color w:val="2D2D2D"/>
          <w:sz w:val="22"/>
          <w:szCs w:val="22"/>
        </w:rPr>
        <w:t xml:space="preserve">Un viajero paga S/150 por un tour. Esa plata la recibe Finde a través de Culqi (la pasarela de pagos). NO va directo a la agencia.</w:t>
      </w:r>
    </w:p>
    <w:p>
      <w:pPr>
        <w:pStyle w:val="ListParagraph"/>
        <w:numPr>
          <w:ilvl w:val="0"/>
          <w:numId w:val="2"/>
        </w:numPr>
        <w:spacing w:after="100"/>
      </w:pPr>
      <w:r>
        <w:rPr>
          <w:rFonts w:ascii="Arial" w:cs="Arial" w:eastAsia="Arial" w:hAnsi="Arial"/>
          <w:b/>
          <w:bCs/>
          <w:color w:val="2D2D2D"/>
          <w:sz w:val="22"/>
          <w:szCs w:val="22"/>
        </w:rPr>
        <w:t xml:space="preserve">Paso 2 — Se ejecuta el tour: </w:t>
      </w:r>
      <w:r>
        <w:rPr>
          <w:rFonts w:ascii="Arial" w:cs="Arial" w:eastAsia="Arial" w:hAnsi="Arial"/>
          <w:color w:val="2D2D2D"/>
          <w:sz w:val="22"/>
          <w:szCs w:val="22"/>
        </w:rPr>
        <w:t xml:space="preserve">La agencia realiza el tour. Finde espera 7 días después del tour para dar tiempo al viajero de reportar algún problema.</w:t>
      </w:r>
    </w:p>
    <w:p>
      <w:pPr>
        <w:pStyle w:val="ListParagraph"/>
        <w:numPr>
          <w:ilvl w:val="0"/>
          <w:numId w:val="2"/>
        </w:numPr>
        <w:spacing w:after="100"/>
      </w:pPr>
      <w:r>
        <w:rPr>
          <w:rFonts w:ascii="Arial" w:cs="Arial" w:eastAsia="Arial" w:hAnsi="Arial"/>
          <w:b/>
          <w:bCs/>
          <w:color w:val="2D2D2D"/>
          <w:sz w:val="22"/>
          <w:szCs w:val="22"/>
        </w:rPr>
        <w:t xml:space="preserve">Paso 3 — Corte quincenal: </w:t>
      </w:r>
      <w:r>
        <w:rPr>
          <w:rFonts w:ascii="Arial" w:cs="Arial" w:eastAsia="Arial" w:hAnsi="Arial"/>
          <w:color w:val="2D2D2D"/>
          <w:sz w:val="22"/>
          <w:szCs w:val="22"/>
        </w:rPr>
        <w:t xml:space="preserve">Finde junta todas las ventas de la primera quincena (día 1 al 15) y calcula cuánto le toca a cada agencia. Igual con la segunda quincena (día 16 al último día del mes).</w:t>
      </w:r>
    </w:p>
    <w:p>
      <w:pPr>
        <w:pStyle w:val="ListParagraph"/>
        <w:numPr>
          <w:ilvl w:val="0"/>
          <w:numId w:val="2"/>
        </w:numPr>
        <w:spacing w:after="100"/>
      </w:pPr>
      <w:r>
        <w:rPr>
          <w:rFonts w:ascii="Arial" w:cs="Arial" w:eastAsia="Arial" w:hAnsi="Arial"/>
          <w:b/>
          <w:bCs/>
          <w:color w:val="2D2D2D"/>
          <w:sz w:val="22"/>
          <w:szCs w:val="22"/>
        </w:rPr>
        <w:t xml:space="preserve">Paso 4 — Se transfiere por CCI: </w:t>
      </w:r>
      <w:r>
        <w:rPr>
          <w:rFonts w:ascii="Arial" w:cs="Arial" w:eastAsia="Arial" w:hAnsi="Arial"/>
          <w:color w:val="2D2D2D"/>
          <w:sz w:val="22"/>
          <w:szCs w:val="22"/>
        </w:rPr>
        <w:t xml:space="preserve">Finde le transfiere a la agencia vía CCI (cuenta interbancaria) el monto total de la quincena, ya descontando el 15% de comisión. El pago se hace 3 días hábiles después del cierre.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Ejemplo práctico</w:t>
            </w:r>
          </w:p>
          <w:p>
            <w:r>
              <w:rPr>
                <w:rFonts w:ascii="Arial" w:cs="Arial" w:eastAsia="Arial" w:hAnsi="Arial"/>
                <w:color w:val="2D2D2D"/>
                <w:sz w:val="20"/>
                <w:szCs w:val="20"/>
              </w:rPr>
              <w:t xml:space="preserve">Una agencia vendió 10 tours de S/150 entre el 1 y el 15 de junio (S/1,500 total). Todos los tours ya se ejecutaron. El día 19 de junio (3 días hábiles después del cierre del 15), Finde le transfiere S/1,275 a su cuenta CCI (que es S/1,500 menos el 15% de comisión = S/225 para Finde).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Parámetro</w:t>
            </w:r>
          </w:p>
        </w:tc>
        <w:tc>
          <w:tcPr>
            <w:tcW w:type="dxa" w:w="3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Regla Finde</w:t>
            </w:r>
          </w:p>
        </w:tc>
        <w:tc>
          <w:tcPr>
            <w:tcW w:type="dxa" w:w="31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Comparación con la competencia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Frecuencia de pago</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Quincenal (cada 15 días)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Viator, GetYourGuide, Klook: mensual</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Fechas de corte</w:t>
            </w:r>
          </w:p>
        </w:tc>
        <w:tc>
          <w:tcPr>
            <w:tcW w:type="dxa" w:w="3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Día 1-15 y día 16 al último del mes</w:t>
            </w:r>
          </w:p>
        </w:tc>
        <w:tc>
          <w:tcPr>
            <w:tcW w:type="dxa" w:w="3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Viator: cierre mensual único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Día de transferencia</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 días hábiles post-cierre (aprox días 4 y 19)</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Viator: mensual + 15 días de espera</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Solo tours ya ejecutados</w:t>
            </w:r>
          </w:p>
        </w:tc>
        <w:tc>
          <w:tcPr>
            <w:tcW w:type="dxa" w:w="3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Sí, tours realizados hace 7+ días</w:t>
            </w:r>
          </w:p>
        </w:tc>
        <w:tc>
          <w:tcPr>
            <w:tcW w:type="dxa" w:w="3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Estándar: nunca pagan antes del tour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Método de pago</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Transferencia CCI</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Monto mínimo para pagar</w:t>
            </w:r>
          </w:p>
        </w:tc>
        <w:tc>
          <w:tcPr>
            <w:tcW w:type="dxa" w:w="3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S/50</w:t>
            </w:r>
          </w:p>
        </w:tc>
        <w:tc>
          <w:tcPr>
            <w:tcW w:type="dxa" w:w="3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Viator: US$50 (~S/190)</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Costo de la transferencia</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 asume el costo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Estándar Klook/Airbnb</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Retención de seguridad</w:t>
            </w:r>
          </w:p>
        </w:tc>
        <w:tc>
          <w:tcPr>
            <w:tcW w:type="dxa" w:w="3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Sin retención en Fase 1</w:t>
            </w:r>
          </w:p>
        </w:tc>
        <w:tc>
          <w:tcPr>
            <w:tcW w:type="dxa" w:w="31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GYG retiene % a todos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Ventaja competitiva</w:t>
            </w:r>
          </w:p>
          <w:p>
            <w:r>
              <w:rPr>
                <w:rFonts w:ascii="Arial" w:cs="Arial" w:eastAsia="Arial" w:hAnsi="Arial"/>
                <w:color w:val="2D2D2D"/>
                <w:sz w:val="20"/>
                <w:szCs w:val="20"/>
              </w:rPr>
              <w:t xml:space="preserve">Finde paga cada 15 días cuando la mayoría de plataformas globales paga cada mes (o más). Para agencias peruanas con flujo de caja ajustado, esto es un diferenciador real. GetYourGuide incluso cobra 2% extra si quieres pago quincenal.</w:t>
            </w:r>
          </w:p>
        </w:tc>
      </w:tr>
    </w:tbl>
    <w:p>
      <w:pPr>
        <w:spacing w:after="120"/>
      </w:pPr>
    </w:p>
    <w:p>
      <w:pPr>
        <w:pStyle w:val="Heading2"/>
      </w:pPr>
      <w:r>
        <w:t xml:space="preserve">5.2 Retención de seguridad (solo Fase 2)</w:t>
      </w:r>
    </w:p>
    <w:p>
      <w:pPr>
        <w:spacing w:after="160"/>
      </w:pPr>
      <w:r>
        <w:rPr>
          <w:rFonts w:ascii="Arial" w:cs="Arial" w:eastAsia="Arial" w:hAnsi="Arial"/>
          <w:b/>
          <w:bCs/>
          <w:color w:val="2D2D2D"/>
          <w:sz w:val="22"/>
          <w:szCs w:val="22"/>
        </w:rPr>
        <w:t xml:space="preserve">En la Fase 1 (lanzamiento) NO se retiene nada. </w:t>
      </w:r>
      <w:r>
        <w:rPr>
          <w:rFonts w:ascii="Arial" w:cs="Arial" w:eastAsia="Arial" w:hAnsi="Arial"/>
          <w:color w:val="2D2D2D"/>
          <w:sz w:val="22"/>
          <w:szCs w:val="22"/>
        </w:rPr>
        <w:t xml:space="preserve">Toda venta ejecutada se paga completa en el payout quincenal. El objetivo es construir confianza con las primeras agencias.</w:t>
      </w:r>
    </w:p>
    <w:p>
      <w:pPr>
        <w:spacing w:after="160"/>
      </w:pPr>
      <w:r>
        <w:rPr>
          <w:rFonts w:ascii="Arial" w:cs="Arial" w:eastAsia="Arial" w:hAnsi="Arial"/>
          <w:color w:val="2D2D2D"/>
          <w:sz w:val="22"/>
          <w:szCs w:val="22"/>
        </w:rPr>
        <w:t xml:space="preserve">En la Fase 2, cuando ya haya volumen y confianza, se introducirá un rolling reserve: una retención temporal del 5-10% durante 90 días para agencias nuevas, como colchón de seguridad ante reclamos o chargebacks. Si no pasa nada en 90 días, se libera la plata retenida.</w:t>
      </w:r>
    </w:p>
    <w:p>
      <w:pPr>
        <w:pStyle w:val="Heading2"/>
      </w:pPr>
      <w:r>
        <w:t xml:space="preserve">5.3 Disputas y su impacto en el payout</w:t>
      </w:r>
    </w:p>
    <w:p>
      <w:pPr>
        <w:spacing w:after="160"/>
      </w:pPr>
      <w:r>
        <w:rPr>
          <w:rFonts w:ascii="Arial" w:cs="Arial" w:eastAsia="Arial" w:hAnsi="Arial"/>
          <w:color w:val="2D2D2D"/>
          <w:sz w:val="22"/>
          <w:szCs w:val="22"/>
        </w:rPr>
        <w:t xml:space="preserve">Si hay una disputa abierta sobre una reserva específica, el monto de esa reserva se retiene del payout hasta que se resuelva. El resto del payout se transfiere normalmente.</w:t>
      </w:r>
    </w:p>
    <w:p>
      <w:r>
        <w:br w:type="page"/>
      </w:r>
    </w:p>
    <w:p>
      <w:pPr>
        <w:pStyle w:val="Heading1"/>
      </w:pPr>
      <w:r>
        <w:t xml:space="preserve">6. Verificación y Onboarding de Agencias</w:t>
      </w:r>
    </w:p>
    <w:p>
      <w:pPr>
        <w:pStyle w:val="Heading2"/>
      </w:pPr>
      <w:r>
        <w:t xml:space="preserve">6.1 Sistema de dos niveles (Fase 1)</w:t>
      </w:r>
    </w:p>
    <w:p>
      <w:pPr>
        <w:spacing w:after="160"/>
      </w:pPr>
      <w:r>
        <w:rPr>
          <w:rFonts w:ascii="Arial" w:cs="Arial" w:eastAsia="Arial" w:hAnsi="Arial"/>
          <w:color w:val="2D2D2D"/>
          <w:sz w:val="22"/>
          <w:szCs w:val="22"/>
        </w:rPr>
        <w:t xml:space="preserve">El onboarding tiene dos niveles. La agencia puede empezar a operar desde el Nivel 1 (Basic) mientras completa la información para alcanzar el Nivel 2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Finde Basic (Nivel 1)</w:t>
            </w:r>
          </w:p>
        </w:tc>
        <w:tc>
          <w:tcPr>
            <w:tcW w:type="dxa" w:w="33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Finde Verificado (Nivel 2)</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Qué es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La agencia completó el registro con su info básica y puede empezar a vender</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La agencia tiene registro MINCETUR/DIRCETUR confirmado y toda la información completa</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Puede publicar tours</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Puede recibir reservas y pagos</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Badge de verificación visible</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 Badge “Verificado” en cada tour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Ranking en búsqueda</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Normal</w:t>
            </w:r>
          </w:p>
        </w:tc>
        <w:tc>
          <w:tcPr>
            <w:tcW w:type="dxa" w:w="33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Prioridad sobre agencias Basic</w:t>
            </w:r>
          </w:p>
        </w:tc>
      </w:tr>
      <w:tr>
        <w:tc>
          <w:tcPr>
            <w:tcW w:type="dxa" w:w="2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Confianza del viajero</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Estándar</w:t>
            </w:r>
          </w:p>
        </w:tc>
        <w:tc>
          <w:tcPr>
            <w:tcW w:type="dxa" w:w="338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Mayor (el badge genera confianza)</w:t>
            </w:r>
          </w:p>
        </w:tc>
      </w:tr>
    </w:tbl>
    <w:p>
      <w:pPr>
        <w:spacing w:after="120"/>
      </w:pPr>
    </w:p>
    <w:p>
      <w:pPr>
        <w:pStyle w:val="Heading2"/>
      </w:pPr>
      <w:r>
        <w:t xml:space="preserve">6.2 Información requerida por nivel</w:t>
      </w:r>
    </w:p>
    <w:p>
      <w:pPr>
        <w:pStyle w:val="Heading3"/>
      </w:pPr>
      <w:r>
        <w:t xml:space="preserve">Nivel 1 — Finde Basic (puede empezar a vender)</w:t>
      </w:r>
    </w:p>
    <w:p>
      <w:pPr>
        <w:spacing w:after="160"/>
      </w:pPr>
      <w:r>
        <w:rPr>
          <w:rFonts w:ascii="Arial" w:cs="Arial" w:eastAsia="Arial" w:hAnsi="Arial"/>
          <w:color w:val="2D2D2D"/>
          <w:sz w:val="22"/>
          <w:szCs w:val="22"/>
        </w:rPr>
        <w:t xml:space="preserve">La agencia proporciona esta información para registrarse y empezar a operar: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Dato requerido</w:t>
            </w:r>
          </w:p>
        </w:tc>
        <w:tc>
          <w:tcPr>
            <w:tcW w:type="dxa" w:w="47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se valida</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RUC</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Validación automática contra API SUNAT (activo y habido)</w:t>
            </w:r>
          </w:p>
        </w:tc>
      </w:tr>
      <w:tr>
        <w:tc>
          <w:tcPr>
            <w:tcW w:type="dxa" w:w="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Razón social y nombre comercial</w:t>
            </w:r>
          </w:p>
        </w:tc>
        <w:tc>
          <w:tcPr>
            <w:tcW w:type="dxa" w:w="47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cruza con datos SUNAT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Fecha de inicio de actividades (SUNAT)</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Se obtiene de consulta SUNAT</w:t>
            </w:r>
          </w:p>
        </w:tc>
      </w:tr>
      <w:tr>
        <w:tc>
          <w:tcPr>
            <w:tcW w:type="dxa" w:w="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Nombre completo del representante legal</w:t>
            </w:r>
          </w:p>
        </w:tc>
        <w:tc>
          <w:tcPr>
            <w:tcW w:type="dxa" w:w="47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Declaración de la agencia</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DNI del representante legal</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Validación contra RENIEC</w:t>
            </w:r>
          </w:p>
        </w:tc>
      </w:tr>
      <w:tr>
        <w:tc>
          <w:tcPr>
            <w:tcW w:type="dxa" w:w="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Teléfono del representante legal</w:t>
            </w:r>
          </w:p>
        </w:tc>
        <w:tc>
          <w:tcPr>
            <w:tcW w:type="dxa" w:w="47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Verificación por OTP/WhatsApp</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7</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Correo electrónico del representante legal</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Verificación por código</w:t>
            </w:r>
          </w:p>
        </w:tc>
      </w:tr>
      <w:tr>
        <w:tc>
          <w:tcPr>
            <w:tcW w:type="dxa" w:w="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Cuenta CCI para recibir pagos</w:t>
            </w:r>
          </w:p>
        </w:tc>
        <w:tc>
          <w:tcPr>
            <w:tcW w:type="dxa" w:w="47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 nombre del titular del RUC</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9</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Aceptación de Términos y Condiciones</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Firma digital del usuario en la plataforma</w:t>
            </w:r>
          </w:p>
        </w:tc>
      </w:tr>
    </w:tbl>
    <w:p>
      <w:pPr>
        <w:spacing w:after="120"/>
      </w:pPr>
    </w:p>
    <w:p>
      <w:pPr>
        <w:pStyle w:val="Heading3"/>
      </w:pPr>
      <w:r>
        <w:t xml:space="preserve">Nivel 2 — Finde Verificado (badge de confianza)</w:t>
      </w:r>
    </w:p>
    <w:p>
      <w:pPr>
        <w:spacing w:after="160"/>
      </w:pPr>
      <w:r>
        <w:rPr>
          <w:rFonts w:ascii="Arial" w:cs="Arial" w:eastAsia="Arial" w:hAnsi="Arial"/>
          <w:color w:val="2D2D2D"/>
          <w:sz w:val="22"/>
          <w:szCs w:val="22"/>
        </w:rPr>
        <w:t xml:space="preserve">Todo lo del Nivel 1,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Dato adicional requerido</w:t>
            </w:r>
          </w:p>
        </w:tc>
        <w:tc>
          <w:tcPr>
            <w:tcW w:type="dxa" w:w="47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se valida</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Número de inscripción en MINCETUR/DIRCETUR</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Validación contra Directorio Nacional (DNPSTC)</w:t>
            </w:r>
          </w:p>
        </w:tc>
      </w:tr>
      <w:tr>
        <w:tc>
          <w:tcPr>
            <w:tcW w:type="dxa" w:w="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11</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Región donde se inscribió</w:t>
            </w:r>
          </w:p>
        </w:tc>
        <w:tc>
          <w:tcPr>
            <w:tcW w:type="dxa" w:w="47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 cruza con registro MINCETUR</w:t>
            </w:r>
          </w:p>
        </w:tc>
      </w:tr>
    </w:tbl>
    <w:p>
      <w:pPr>
        <w:spacing w:after="120"/>
      </w:pPr>
    </w:p>
    <w:p>
      <w:pPr>
        <w:spacing w:after="160"/>
      </w:pPr>
      <w:r>
        <w:rPr>
          <w:rFonts w:ascii="Arial" w:cs="Arial" w:eastAsia="Arial" w:hAnsi="Arial"/>
          <w:b/>
          <w:bCs/>
          <w:color w:val="2D2D2D"/>
          <w:sz w:val="22"/>
          <w:szCs w:val="22"/>
        </w:rPr>
        <w:t xml:space="preserve">Una vez que la agencia completa el Nivel 2, </w:t>
      </w:r>
      <w:r>
        <w:rPr>
          <w:rFonts w:ascii="Arial" w:cs="Arial" w:eastAsia="Arial" w:hAnsi="Arial"/>
          <w:color w:val="2D2D2D"/>
          <w:sz w:val="22"/>
          <w:szCs w:val="22"/>
        </w:rPr>
        <w:t xml:space="preserve">recibe el badge “Finde Verificado” que se muestra en todos sus tours. Este badge genera mayor confianza en los viajeros y la agencia aparece más arriba en los resultados de búsqueda.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Nivel 3 — Finde Trusted (Fase 2)</w:t>
            </w:r>
          </w:p>
          <w:p>
            <w:r>
              <w:rPr>
                <w:rFonts w:ascii="Arial" w:cs="Arial" w:eastAsia="Arial" w:hAnsi="Arial"/>
                <w:color w:val="2D2D2D"/>
                <w:sz w:val="20"/>
                <w:szCs w:val="20"/>
              </w:rPr>
              <w:t xml:space="preserve">En etapas posteriores se agregará un tercer nivel basado en desempeño: rating alto, baja cancelación, respuesta rápida. Incluirá beneficios como ranking premium y perdonar strikes. Se definirá cuando haya suficiente volumen y datos.</w:t>
            </w:r>
          </w:p>
        </w:tc>
      </w:tr>
    </w:tbl>
    <w:p>
      <w:pPr>
        <w:spacing w:after="120"/>
      </w:pPr>
    </w:p>
    <w:p>
      <w:pPr>
        <w:pStyle w:val="Heading2"/>
      </w:pPr>
      <w:r>
        <w:t xml:space="preserve">6.3 Agencias informales (sin RUC)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Regla estricta</w:t>
            </w:r>
          </w:p>
          <w:p>
            <w:r>
              <w:rPr>
                <w:rFonts w:ascii="Arial" w:cs="Arial" w:eastAsia="Arial" w:hAnsi="Arial"/>
                <w:color w:val="2D2D2D"/>
                <w:sz w:val="20"/>
                <w:szCs w:val="20"/>
              </w:rPr>
              <w:t xml:space="preserve">Las agencias sin RUC NO pueden vender en Finde. El riesgo tributario (Ley de Bancarización 28194 exige medio bancario para pagos &gt;S/2,000) y de responsabilidad solidaria ante INDECOPI es demasiado alto.</w:t>
            </w:r>
          </w:p>
        </w:tc>
      </w:tr>
    </w:tbl>
    <w:p>
      <w:pPr>
        <w:spacing w:after="120"/>
      </w:pPr>
    </w:p>
    <w:p>
      <w:pPr>
        <w:spacing w:after="160"/>
      </w:pPr>
      <w:r>
        <w:rPr>
          <w:rFonts w:ascii="Arial" w:cs="Arial" w:eastAsia="Arial" w:hAnsi="Arial"/>
          <w:b/>
          <w:bCs/>
          <w:color w:val="2D2D2D"/>
          <w:sz w:val="22"/>
          <w:szCs w:val="22"/>
        </w:rPr>
        <w:t xml:space="preserve">Finde apoya la formalización: </w:t>
      </w:r>
      <w:r>
        <w:rPr>
          <w:rFonts w:ascii="Arial" w:cs="Arial" w:eastAsia="Arial" w:hAnsi="Arial"/>
          <w:color w:val="2D2D2D"/>
          <w:sz w:val="22"/>
          <w:szCs w:val="22"/>
        </w:rPr>
        <w:t xml:space="preserve">Al exigir el RUC como requisito mínimo y solicitar los datos del representante legal, Finde impulsa a las agencias informales a dar el primer paso hacia la formalización. En etapas posteriores, tenemos considerado complementar este esfuerzo con convenios con estudios contables para facilitar la obtención del RUC y el registro en SUNAT, guías de inscripción en MINCETUR, plantillas de declaraciones juradas, y apoyo con la póliza de responsabilidad civil.</w:t>
      </w:r>
    </w:p>
    <w:p>
      <w:r>
        <w:br w:type="page"/>
      </w:r>
    </w:p>
    <w:p>
      <w:pPr>
        <w:pStyle w:val="Heading1"/>
      </w:pPr>
      <w:r>
        <w:t xml:space="preserve">7. Pricing y Calendario Peruano</w:t>
      </w:r>
    </w:p>
    <w:p>
      <w:pPr>
        <w:pStyle w:val="Heading2"/>
      </w:pPr>
      <w:r>
        <w:t xml:space="preserve">7.1 Precios en Fase 1</w:t>
      </w:r>
    </w:p>
    <w:p>
      <w:pPr>
        <w:spacing w:after="160"/>
      </w:pPr>
      <w:r>
        <w:rPr>
          <w:rFonts w:ascii="Arial" w:cs="Arial" w:eastAsia="Arial" w:hAnsi="Arial"/>
          <w:b/>
          <w:bCs/>
          <w:color w:val="2D2D2D"/>
          <w:sz w:val="22"/>
          <w:szCs w:val="22"/>
        </w:rPr>
        <w:t xml:space="preserve">En la Fase 1 (lanzamiento), el pricing es simple: </w:t>
      </w:r>
      <w:r>
        <w:rPr>
          <w:rFonts w:ascii="Arial" w:cs="Arial" w:eastAsia="Arial" w:hAnsi="Arial"/>
          <w:color w:val="2D2D2D"/>
          <w:sz w:val="22"/>
          <w:szCs w:val="22"/>
        </w:rPr>
        <w:t xml:space="preserve">la agencia pone el precio de cada tour y ese es el precio final que ve el viajero. No hay descuentos automáticos por grupo, ni early bird, ni last minute, ni códigos promocionales. La agencia puede manejar sus propios descuentos de forma manual ajustando el precio del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Descuentos y códigos — Fase 2</w:t>
            </w:r>
          </w:p>
          <w:p>
            <w:r>
              <w:rPr>
                <w:rFonts w:ascii="Arial" w:cs="Arial" w:eastAsia="Arial" w:hAnsi="Arial"/>
                <w:color w:val="2D2D2D"/>
                <w:sz w:val="20"/>
                <w:szCs w:val="20"/>
              </w:rPr>
              <w:t xml:space="preserve">En la Fase 2 se introducirán: descuentos automáticos por grupo (5-20% según tamaño), tarifas diferenciadas (niños, estudiantes, nacionales), early bird y last minute, y códigos promocionales con límites de uso y vencimiento. Todo está diseñado pero se activa cuando haya volumen suficiente.</w:t>
            </w:r>
          </w:p>
        </w:tc>
      </w:tr>
    </w:tbl>
    <w:p>
      <w:pPr>
        <w:spacing w:after="120"/>
      </w:pPr>
    </w:p>
    <w:p>
      <w:pPr>
        <w:pStyle w:val="Heading2"/>
      </w:pPr>
      <w:r>
        <w:t xml:space="preserve">7.2 Precios y ranking</w:t>
      </w:r>
    </w:p>
    <w:p>
      <w:pPr>
        <w:spacing w:after="160"/>
      </w:pPr>
      <w:r>
        <w:rPr>
          <w:rFonts w:ascii="Arial" w:cs="Arial" w:eastAsia="Arial" w:hAnsi="Arial"/>
          <w:b/>
          <w:bCs/>
          <w:color w:val="2D2D2D"/>
          <w:sz w:val="22"/>
          <w:szCs w:val="22"/>
        </w:rPr>
        <w:t xml:space="preserve">Finde NO obliga a las agencias a tener el mismo precio que en otros canales </w:t>
      </w:r>
      <w:r>
        <w:rPr>
          <w:rFonts w:ascii="Arial" w:cs="Arial" w:eastAsia="Arial" w:hAnsi="Arial"/>
          <w:color w:val="2D2D2D"/>
          <w:sz w:val="22"/>
          <w:szCs w:val="22"/>
        </w:rPr>
        <w:t xml:space="preserve">(eso se llama “rate parity” y en Europa ya lo prohibieron por anticompetitivo). Lo que sí hace:</w:t>
      </w:r>
    </w:p>
    <w:p>
      <w:pPr>
        <w:pStyle w:val="ListParagraph"/>
        <w:numPr>
          <w:ilvl w:val="0"/>
          <w:numId w:val="2"/>
        </w:numPr>
        <w:spacing w:after="100"/>
      </w:pPr>
      <w:r>
        <w:rPr>
          <w:rFonts w:ascii="Arial" w:cs="Arial" w:eastAsia="Arial" w:hAnsi="Arial"/>
          <w:b/>
          <w:bCs/>
          <w:color w:val="2D2D2D"/>
          <w:sz w:val="22"/>
          <w:szCs w:val="22"/>
        </w:rPr>
        <w:t xml:space="preserve">Best-price guarantee al viajero: </w:t>
      </w:r>
      <w:r>
        <w:rPr>
          <w:rFonts w:ascii="Arial" w:cs="Arial" w:eastAsia="Arial" w:hAnsi="Arial"/>
          <w:color w:val="2D2D2D"/>
          <w:sz w:val="22"/>
          <w:szCs w:val="22"/>
        </w:rPr>
        <w:t xml:space="preserve">si el viajero encuentra el mismo tour más barato en la web de la agencia, Finde iguala el precio.</w:t>
      </w:r>
    </w:p>
    <w:p>
      <w:pPr>
        <w:pStyle w:val="ListParagraph"/>
        <w:numPr>
          <w:ilvl w:val="0"/>
          <w:numId w:val="2"/>
        </w:numPr>
        <w:spacing w:after="100"/>
      </w:pPr>
      <w:r>
        <w:rPr>
          <w:rFonts w:ascii="Arial" w:cs="Arial" w:eastAsia="Arial" w:hAnsi="Arial"/>
          <w:b/>
          <w:bCs/>
          <w:color w:val="2D2D2D"/>
          <w:sz w:val="22"/>
          <w:szCs w:val="22"/>
        </w:rPr>
        <w:t xml:space="preserve">Ranking boost: </w:t>
      </w:r>
      <w:r>
        <w:rPr>
          <w:rFonts w:ascii="Arial" w:cs="Arial" w:eastAsia="Arial" w:hAnsi="Arial"/>
          <w:color w:val="2D2D2D"/>
          <w:sz w:val="22"/>
          <w:szCs w:val="22"/>
        </w:rPr>
        <w:t xml:space="preserve">las agencias cuyo precio en Finde es igual o menor que en su web propia aparecen más arriba en los resultados.</w:t>
      </w:r>
    </w:p>
    <w:p>
      <w:pPr>
        <w:pStyle w:val="Heading2"/>
      </w:pPr>
      <w:r>
        <w:t xml:space="preserve">7.3 Calendario peruano de temporada alta</w:t>
      </w:r>
    </w:p>
    <w:p>
      <w:pPr>
        <w:spacing w:after="160"/>
      </w:pPr>
      <w:r>
        <w:rPr>
          <w:rFonts w:ascii="Arial" w:cs="Arial" w:eastAsia="Arial" w:hAnsi="Arial"/>
          <w:color w:val="2D2D2D"/>
          <w:sz w:val="22"/>
          <w:szCs w:val="22"/>
        </w:rPr>
        <w:t xml:space="preserve">En estas fechas, las agencias pueden subir sus precios ajustando el precio de cada tour manualmente. El sistema lo permite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1600"/>
        <w:gridCol w:w="2660"/>
      </w:tblGrid>
      <w:tr>
        <w:trPr>
          <w:tblHeader/>
        </w:trP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Temporada</w:t>
            </w:r>
          </w:p>
        </w:tc>
        <w:tc>
          <w:tcPr>
            <w:tcW w:type="dxa" w:w="2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Región principal</w:t>
            </w:r>
          </w:p>
        </w:tc>
        <w:tc>
          <w:tcPr>
            <w:tcW w:type="dxa" w:w="1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Aumento típico</w:t>
            </w:r>
          </w:p>
        </w:tc>
        <w:tc>
          <w:tcPr>
            <w:tcW w:type="dxa" w:w="26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Anticipación de reservas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Carnavales y Candelaria (febrero)</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Puno, Cajamarca, Ayacucho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 a +50%</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90 días antes</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Semana Santa (abril)</w:t>
            </w:r>
          </w:p>
        </w:tc>
        <w:tc>
          <w:tcPr>
            <w:tcW w:type="dxa" w:w="23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Nacional, pico en Ayacucho/Cusco</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+25% a +40%</w:t>
            </w:r>
          </w:p>
        </w:tc>
        <w:tc>
          <w:tcPr>
            <w:tcW w:type="dxa" w:w="2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60 a 90 días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Corpus Christi + Inti Raymi (junio)</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Cusco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+40% a +60%</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90 a 180 días</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Fiestas Patrias (28-29 julio)</w:t>
            </w:r>
          </w:p>
        </w:tc>
        <w:tc>
          <w:tcPr>
            <w:tcW w:type="dxa" w:w="23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Nacional</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+30% a +50%</w:t>
            </w:r>
          </w:p>
        </w:tc>
        <w:tc>
          <w:tcPr>
            <w:tcW w:type="dxa" w:w="2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60 a 120 días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Señor de los Milagros (octubre)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Lima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+10% a +15%</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 días</w:t>
            </w:r>
          </w:p>
        </w:tc>
      </w:tr>
      <w:tr>
        <w:tc>
          <w:tcPr>
            <w:tcW w:type="dxa" w:w="28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Navidad/Año Nuevo (dic-ene)</w:t>
            </w:r>
          </w:p>
        </w:tc>
        <w:tc>
          <w:tcPr>
            <w:tcW w:type="dxa" w:w="23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Nacional, pico Machu Picchu</w:t>
            </w:r>
          </w:p>
        </w:tc>
        <w:tc>
          <w:tcPr>
            <w:tcW w:type="dxa" w:w="16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+25% a +40%</w:t>
            </w:r>
          </w:p>
        </w:tc>
        <w:tc>
          <w:tcPr>
            <w:tcW w:type="dxa" w:w="2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60 a 90 días</w:t>
            </w:r>
          </w:p>
        </w:tc>
      </w:tr>
    </w:tbl>
    <w:p>
      <w:pPr>
        <w:spacing w:after="120"/>
      </w:pPr>
    </w:p>
    <w:p>
      <w:r>
        <w:br w:type="page"/>
      </w:r>
    </w:p>
    <w:p>
      <w:pPr>
        <w:pStyle w:val="Heading1"/>
      </w:pPr>
      <w:r>
        <w:t xml:space="preserve">8. Penalidades y Suspensión de Agencias</w:t>
      </w:r>
    </w:p>
    <w:p>
      <w:pPr>
        <w:pStyle w:val="Heading2"/>
      </w:pPr>
      <w:r>
        <w:t xml:space="preserve">8.1 Umbrales de calidad</w:t>
      </w:r>
    </w:p>
    <w:p>
      <w:pPr>
        <w:spacing w:after="160"/>
      </w:pPr>
      <w:r>
        <w:rPr>
          <w:rFonts w:ascii="Arial" w:cs="Arial" w:eastAsia="Arial" w:hAnsi="Arial"/>
          <w:color w:val="2D2D2D"/>
          <w:sz w:val="22"/>
          <w:szCs w:val="22"/>
        </w:rPr>
        <w:t xml:space="preserve">Finde mide tres cosas: el rating de la agencia, su tasa de cancelación y qué tan rápido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 de alerta</w:t>
            </w:r>
          </w:p>
        </w:tc>
        <w:tc>
          <w:tcPr>
            <w:tcW w:type="dxa" w:w="4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Cuándo se activa</w:t>
            </w:r>
          </w:p>
        </w:tc>
        <w:tc>
          <w:tcPr>
            <w:tcW w:type="dxa" w:w="29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pasa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ADVERTENCIA</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Rating últimos 12 meses &lt;4.5, o cancelaciones &gt;5% en 90 días, o respuesta &lt;85% en 24h, o 2 quejas formales en 90 días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 notifica y da plan de mejora</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bCs/>
                <w:color w:val="2D2D2D"/>
                <w:sz w:val="20"/>
                <w:szCs w:val="20"/>
              </w:rPr>
              <w:t xml:space="preserve">STRIKE (Suspensión 14 días)</w:t>
            </w:r>
          </w:p>
        </w:tc>
        <w:tc>
          <w:tcPr>
            <w:tcW w:type="dxa" w:w="4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Rating &lt;4.3, o cancelaciones &gt;10%, o respuesta &lt;75%, o 3 quejas en 90 días, o chargebacks &gt;2%</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Tours ocultos por 14 días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DESACTIVACIÓN</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Rating &lt;4.0, o cancelaciones &gt;15%, o respuesta &lt;60%, o 5 quejas en 90 días, o 1 queja grave de seguridad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Agencia desactivada. Puede apelar en 30 días</w:t>
            </w:r>
          </w:p>
        </w:tc>
      </w:tr>
    </w:tbl>
    <w:p>
      <w:pPr>
        <w:spacing w:after="120"/>
      </w:pPr>
    </w:p>
    <w:p>
      <w:pPr>
        <w:pStyle w:val="Heading2"/>
      </w:pPr>
      <w:r>
        <w:t xml:space="preserve">8.2 Cómo funcionan los strikes</w:t>
      </w:r>
    </w:p>
    <w:p>
      <w:pPr>
        <w:pStyle w:val="ListParagraph"/>
        <w:numPr>
          <w:ilvl w:val="0"/>
          <w:numId w:val="2"/>
        </w:numPr>
        <w:spacing w:after="100"/>
      </w:pPr>
      <w:r>
        <w:rPr>
          <w:rFonts w:ascii="Arial" w:cs="Arial" w:eastAsia="Arial" w:hAnsi="Arial"/>
          <w:color w:val="2D2D2D"/>
          <w:sz w:val="22"/>
          <w:szCs w:val="22"/>
        </w:rPr>
        <w:t xml:space="preserve">Los strikes expiran después de 180 días (no son permanentes).</w:t>
      </w:r>
    </w:p>
    <w:p>
      <w:pPr>
        <w:pStyle w:val="ListParagraph"/>
        <w:numPr>
          <w:ilvl w:val="0"/>
          <w:numId w:val="2"/>
        </w:numPr>
        <w:spacing w:after="100"/>
      </w:pPr>
      <w:r>
        <w:rPr>
          <w:rFonts w:ascii="Arial" w:cs="Arial" w:eastAsia="Arial" w:hAnsi="Arial"/>
          <w:color w:val="2D2D2D"/>
          <w:sz w:val="22"/>
          <w:szCs w:val="22"/>
        </w:rPr>
        <w:t xml:space="preserve">3 strikes acumulados en 180 días = suspensión temporal de 14 días.</w:t>
      </w:r>
    </w:p>
    <w:p>
      <w:pPr>
        <w:pStyle w:val="ListParagraph"/>
        <w:numPr>
          <w:ilvl w:val="0"/>
          <w:numId w:val="2"/>
        </w:numPr>
        <w:spacing w:after="100"/>
      </w:pPr>
      <w:r>
        <w:rPr>
          <w:rFonts w:ascii="Arial" w:cs="Arial" w:eastAsia="Arial" w:hAnsi="Arial"/>
          <w:color w:val="2D2D2D"/>
          <w:sz w:val="22"/>
          <w:szCs w:val="22"/>
        </w:rPr>
        <w:t xml:space="preserve">5 strikes acumulados = desactivación permanente (se honran reservas existentes por 30 días).</w:t>
      </w:r>
    </w:p>
    <w:p>
      <w:pPr>
        <w:pStyle w:val="ListParagraph"/>
        <w:numPr>
          <w:ilvl w:val="0"/>
          <w:numId w:val="2"/>
        </w:numPr>
        <w:spacing w:after="100"/>
      </w:pPr>
      <w:r>
        <w:rPr>
          <w:rFonts w:ascii="Arial" w:cs="Arial" w:eastAsia="Arial" w:hAnsi="Arial"/>
          <w:color w:val="2D2D2D"/>
          <w:sz w:val="22"/>
          <w:szCs w:val="22"/>
        </w:rPr>
        <w:t xml:space="preserve">Las cancelaciones por clima o fuerza mayor documentada NO cuentan como strike.</w:t>
      </w:r>
    </w:p>
    <w:p>
      <w:pPr>
        <w:pStyle w:val="Heading2"/>
      </w:pPr>
      <w:r>
        <w:t xml:space="preserve">8.3 Suspensión preventiva inmediata</w:t>
      </w:r>
    </w:p>
    <w:p>
      <w:pPr>
        <w:spacing w:after="160"/>
      </w:pPr>
      <w:r>
        <w:rPr>
          <w:rFonts w:ascii="Arial" w:cs="Arial" w:eastAsia="Arial" w:hAnsi="Arial"/>
          <w:color w:val="2D2D2D"/>
          <w:sz w:val="22"/>
          <w:szCs w:val="22"/>
        </w:rPr>
        <w:t xml:space="preserve">Una sola queja grave y verificable de seguridad del viajero activa la suspensión inmediata de la agencia mientras se investiga. No necesita acumular strikes.</w:t>
      </w:r>
    </w:p>
    <w:p>
      <w:r>
        <w:br w:type="page"/>
      </w:r>
    </w:p>
    <w:p>
      <w:pPr>
        <w:pStyle w:val="Heading1"/>
      </w:pPr>
      <w:r>
        <w:t xml:space="preserve">9. Compliance Regulatorio Perú</w:t>
      </w:r>
    </w:p>
    <w:p>
      <w:pPr>
        <w:pStyle w:val="Heading2"/>
      </w:pPr>
      <w:r>
        <w:t xml:space="preserve">9.1 INDECOPI y protección al consumidor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Ley / Norma</w:t>
            </w:r>
          </w:p>
        </w:tc>
        <w:tc>
          <w:tcPr>
            <w:tcW w:type="dxa" w:w="4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obliga a hacer</w:t>
            </w:r>
          </w:p>
        </w:tc>
        <w:tc>
          <w:tcPr>
            <w:tcW w:type="dxa" w:w="2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Multa si no cumples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Ley 32495 (nov-2025)</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Libro de Reclamaciones virtual visible en toda la web/app, responder en máximo 30 días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Hasta 150 UIT (~S/802,500)</w:t>
            </w:r>
          </w:p>
        </w:tc>
      </w:tr>
      <w:tr>
        <w:tc>
          <w:tcPr>
            <w:tcW w:type="dxa" w:w="2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D.Leg. 1729 (feb-2026)</w:t>
            </w:r>
          </w:p>
        </w:tc>
        <w:tc>
          <w:tcPr>
            <w:tcW w:type="dxa" w:w="4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Prohibido usar dark patterns: no esconder cancelación, no preseleccionar, no crear urgencia falsa</w:t>
            </w:r>
          </w:p>
        </w:tc>
        <w:tc>
          <w:tcPr>
            <w:tcW w:type="dxa" w:w="25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Hasta 450 UIT (~S/2.4M)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Ley 31537 (Art. 47)</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Enviar voucher al viajero en máximo 15 días hábiles + guardar prueba de aceptación de T&amp;C</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Hasta 50 UIT</w:t>
            </w:r>
          </w:p>
        </w:tc>
      </w:tr>
      <w:tr>
        <w:tc>
          <w:tcPr>
            <w:tcW w:type="dxa" w:w="2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Código del Consumidor</w:t>
            </w:r>
          </w:p>
        </w:tc>
        <w:tc>
          <w:tcPr>
            <w:tcW w:type="dxa" w:w="44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Precio total final visible desde la primera pantalla, sin cargos sorpresa</w:t>
            </w:r>
          </w:p>
        </w:tc>
        <w:tc>
          <w:tcPr>
            <w:tcW w:type="dxa" w:w="25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Variable</w:t>
            </w:r>
          </w:p>
        </w:tc>
      </w:tr>
    </w:tbl>
    <w:p>
      <w:pPr>
        <w:spacing w:after="120"/>
      </w:pPr>
    </w:p>
    <w:p>
      <w:pPr>
        <w:pStyle w:val="Heading2"/>
      </w:pPr>
      <w:r>
        <w:t xml:space="preserve">9.2 Cinco reglas no negociables</w:t>
      </w:r>
    </w:p>
    <w:p>
      <w:pPr>
        <w:pStyle w:val="ListParagraph"/>
        <w:numPr>
          <w:ilvl w:val="0"/>
          <w:numId w:val="2"/>
        </w:numPr>
        <w:spacing w:after="100"/>
      </w:pPr>
      <w:r>
        <w:rPr>
          <w:rFonts w:ascii="Arial" w:cs="Arial" w:eastAsia="Arial" w:hAnsi="Arial"/>
          <w:b/>
          <w:bCs/>
          <w:color w:val="2D2D2D"/>
          <w:sz w:val="22"/>
          <w:szCs w:val="22"/>
        </w:rPr>
        <w:t xml:space="preserve">1. Libro de Reclamaciones virtual </w:t>
      </w:r>
      <w:r>
        <w:rPr>
          <w:rFonts w:ascii="Arial" w:cs="Arial" w:eastAsia="Arial" w:hAnsi="Arial"/>
          <w:color w:val="2D2D2D"/>
          <w:sz w:val="22"/>
          <w:szCs w:val="22"/>
        </w:rPr>
        <w:t xml:space="preserve">con enlace visible en el footer y en la página de cada tour. Primera respuesta en 48h, resolución en máximo 30 días.</w:t>
      </w:r>
    </w:p>
    <w:p>
      <w:pPr>
        <w:pStyle w:val="ListParagraph"/>
        <w:numPr>
          <w:ilvl w:val="0"/>
          <w:numId w:val="2"/>
        </w:numPr>
        <w:spacing w:after="100"/>
      </w:pPr>
      <w:r>
        <w:rPr>
          <w:rFonts w:ascii="Arial" w:cs="Arial" w:eastAsia="Arial" w:hAnsi="Arial"/>
          <w:b/>
          <w:bCs/>
          <w:color w:val="2D2D2D"/>
          <w:sz w:val="22"/>
          <w:szCs w:val="22"/>
        </w:rPr>
        <w:t xml:space="preserve">2. Auditoría contra dark patterns cada 3 meses </w:t>
      </w:r>
      <w:r>
        <w:rPr>
          <w:rFonts w:ascii="Arial" w:cs="Arial" w:eastAsia="Arial" w:hAnsi="Arial"/>
          <w:color w:val="2D2D2D"/>
          <w:sz w:val="22"/>
          <w:szCs w:val="22"/>
        </w:rPr>
        <w:t xml:space="preserve">(D.Leg. 1729).</w:t>
      </w:r>
    </w:p>
    <w:p>
      <w:pPr>
        <w:pStyle w:val="ListParagraph"/>
        <w:numPr>
          <w:ilvl w:val="0"/>
          <w:numId w:val="2"/>
        </w:numPr>
        <w:spacing w:after="100"/>
      </w:pPr>
      <w:r>
        <w:rPr>
          <w:rFonts w:ascii="Arial" w:cs="Arial" w:eastAsia="Arial" w:hAnsi="Arial"/>
          <w:b/>
          <w:bCs/>
          <w:color w:val="2D2D2D"/>
          <w:sz w:val="22"/>
          <w:szCs w:val="22"/>
        </w:rPr>
        <w:t xml:space="preserve">3. Precio total final visible desde la primera pantalla. </w:t>
      </w:r>
      <w:r>
        <w:rPr>
          <w:rFonts w:ascii="Arial" w:cs="Arial" w:eastAsia="Arial" w:hAnsi="Arial"/>
          <w:color w:val="2D2D2D"/>
          <w:sz w:val="22"/>
          <w:szCs w:val="22"/>
        </w:rPr>
        <w:t xml:space="preserve">Sin “taxes &amp; fees” sorpresa.</w:t>
      </w:r>
    </w:p>
    <w:p>
      <w:pPr>
        <w:pStyle w:val="ListParagraph"/>
        <w:numPr>
          <w:ilvl w:val="0"/>
          <w:numId w:val="2"/>
        </w:numPr>
        <w:spacing w:after="100"/>
      </w:pPr>
      <w:r>
        <w:rPr>
          <w:rFonts w:ascii="Arial" w:cs="Arial" w:eastAsia="Arial" w:hAnsi="Arial"/>
          <w:b/>
          <w:bCs/>
          <w:color w:val="2D2D2D"/>
          <w:sz w:val="22"/>
          <w:szCs w:val="22"/>
        </w:rPr>
        <w:t xml:space="preserve">4. Voucher post-compra </w:t>
      </w:r>
      <w:r>
        <w:rPr>
          <w:rFonts w:ascii="Arial" w:cs="Arial" w:eastAsia="Arial" w:hAnsi="Arial"/>
          <w:color w:val="2D2D2D"/>
          <w:sz w:val="22"/>
          <w:szCs w:val="22"/>
        </w:rPr>
        <w:t xml:space="preserve">con todas las condiciones enviado por WhatsApp y descargable.</w:t>
      </w:r>
    </w:p>
    <w:p>
      <w:pPr>
        <w:pStyle w:val="ListParagraph"/>
        <w:numPr>
          <w:ilvl w:val="0"/>
          <w:numId w:val="2"/>
        </w:numPr>
        <w:spacing w:after="100"/>
      </w:pPr>
      <w:r>
        <w:rPr>
          <w:rFonts w:ascii="Arial" w:cs="Arial" w:eastAsia="Arial" w:hAnsi="Arial"/>
          <w:b/>
          <w:bCs/>
          <w:color w:val="2D2D2D"/>
          <w:sz w:val="22"/>
          <w:szCs w:val="22"/>
        </w:rPr>
        <w:t xml:space="preserve">5. Ruta clara de reclamo: </w:t>
      </w:r>
      <w:r>
        <w:rPr>
          <w:rFonts w:ascii="Arial" w:cs="Arial" w:eastAsia="Arial" w:hAnsi="Arial"/>
          <w:color w:val="2D2D2D"/>
          <w:sz w:val="22"/>
          <w:szCs w:val="22"/>
        </w:rPr>
        <w:t xml:space="preserve">contacto con la agencia → mediación Finde → Libro de Reclamaciones → INDECOPI.</w:t>
      </w:r>
    </w:p>
    <w:p>
      <w:pPr>
        <w:pStyle w:val="Heading2"/>
      </w:pPr>
      <w:r>
        <w:t xml:space="preserve">9.3 Responsabilidad solidaria</w:t>
      </w:r>
    </w:p>
    <w:p>
      <w:pPr>
        <w:spacing w:after="160"/>
      </w:pPr>
      <w:r>
        <w:rPr>
          <w:rFonts w:ascii="Arial" w:cs="Arial" w:eastAsia="Arial" w:hAnsi="Arial"/>
          <w:color w:val="2D2D2D"/>
          <w:sz w:val="22"/>
          <w:szCs w:val="22"/>
        </w:rPr>
        <w:t xml:space="preserve">INDECOPI ha establecido que cuando una plataforma cobra comisión, procesa pagos y usa su marca, responde junto con la agencia si algo sale mal. Poner “no nos hacemos responsables” en los T&amp;C no protege.</w:t>
      </w:r>
    </w:p>
    <w:p>
      <w:pPr>
        <w:spacing w:after="160"/>
      </w:pPr>
      <w:r>
        <w:rPr>
          <w:rFonts w:ascii="Arial" w:cs="Arial" w:eastAsia="Arial" w:hAnsi="Arial"/>
          <w:b/>
          <w:bCs/>
          <w:color w:val="2D2D2D"/>
          <w:sz w:val="22"/>
          <w:szCs w:val="22"/>
        </w:rPr>
        <w:t xml:space="preserve">Defensa: </w:t>
      </w:r>
      <w:r>
        <w:rPr>
          <w:rFonts w:ascii="Arial" w:cs="Arial" w:eastAsia="Arial" w:hAnsi="Arial"/>
          <w:color w:val="2D2D2D"/>
          <w:sz w:val="22"/>
          <w:szCs w:val="22"/>
        </w:rPr>
        <w:t xml:space="preserve">Cada listing y voucher identifica claramente a la agencia (nombre, RUC, registro MINCETUR). El Finde Guarantee se presenta como “servicio de buena fe”, no como garantía contractual absoluta.</w:t>
      </w:r>
    </w:p>
    <w:p>
      <w:pPr>
        <w:pStyle w:val="Heading2"/>
      </w:pPr>
      <w:r>
        <w:t xml:space="preserve">9.4 MINCETUR y turismo</w:t>
      </w:r>
    </w:p>
    <w:p>
      <w:pPr>
        <w:pStyle w:val="ListParagraph"/>
        <w:numPr>
          <w:ilvl w:val="0"/>
          <w:numId w:val="2"/>
        </w:numPr>
        <w:spacing w:after="100"/>
      </w:pPr>
      <w:r>
        <w:rPr>
          <w:rFonts w:ascii="Arial" w:cs="Arial" w:eastAsia="Arial" w:hAnsi="Arial"/>
          <w:color w:val="2D2D2D"/>
          <w:sz w:val="22"/>
          <w:szCs w:val="22"/>
        </w:rPr>
        <w:t xml:space="preserve">Las agencias deben estar inscritas en el DNPSTC según DS 005-2020-MINCETUR.</w:t>
      </w:r>
    </w:p>
    <w:p>
      <w:pPr>
        <w:pStyle w:val="ListParagraph"/>
        <w:numPr>
          <w:ilvl w:val="0"/>
          <w:numId w:val="2"/>
        </w:numPr>
        <w:spacing w:after="100"/>
      </w:pPr>
      <w:r>
        <w:rPr>
          <w:rFonts w:ascii="Arial" w:cs="Arial" w:eastAsia="Arial" w:hAnsi="Arial"/>
          <w:color w:val="2D2D2D"/>
          <w:sz w:val="22"/>
          <w:szCs w:val="22"/>
        </w:rPr>
        <w:t xml:space="preserve">Para turismo de aventura, Finde verifica certificados vigentes (Art. 17.4).</w:t>
      </w:r>
    </w:p>
    <w:p>
      <w:pPr>
        <w:pStyle w:val="ListParagraph"/>
        <w:numPr>
          <w:ilvl w:val="0"/>
          <w:numId w:val="2"/>
        </w:numPr>
        <w:spacing w:after="100"/>
      </w:pPr>
      <w:r>
        <w:rPr>
          <w:rFonts w:ascii="Arial" w:cs="Arial" w:eastAsia="Arial" w:hAnsi="Arial"/>
          <w:color w:val="2D2D2D"/>
          <w:sz w:val="22"/>
          <w:szCs w:val="22"/>
        </w:rPr>
        <w:t xml:space="preserve">Un marketplace como Finde no necesita ser agencia de viajes, pero debe exigir que las agencias que venden sí lo sean.</w:t>
      </w:r>
    </w:p>
    <w:p>
      <w:pPr>
        <w:pStyle w:val="ListParagraph"/>
        <w:numPr>
          <w:ilvl w:val="0"/>
          <w:numId w:val="2"/>
        </w:numPr>
        <w:spacing w:after="100"/>
      </w:pPr>
      <w:r>
        <w:rPr>
          <w:rFonts w:ascii="Arial" w:cs="Arial" w:eastAsia="Arial" w:hAnsi="Arial"/>
          <w:color w:val="2D2D2D"/>
          <w:sz w:val="22"/>
          <w:szCs w:val="22"/>
        </w:rPr>
        <w:t xml:space="preserve">Código de Conducta contra ESNNA: firma obligatoria (RM 430-2018-MINCETUR).</w:t>
      </w:r>
    </w:p>
    <w:p>
      <w:pPr>
        <w:pStyle w:val="Heading2"/>
      </w:pPr>
      <w:r>
        <w:t xml:space="preserve">9.5 Protección de datos personales</w:t>
      </w:r>
    </w:p>
    <w:p>
      <w:pPr>
        <w:pStyle w:val="ListParagraph"/>
        <w:numPr>
          <w:ilvl w:val="0"/>
          <w:numId w:val="2"/>
        </w:numPr>
        <w:spacing w:after="100"/>
      </w:pPr>
      <w:r>
        <w:rPr>
          <w:rFonts w:ascii="Arial" w:cs="Arial" w:eastAsia="Arial" w:hAnsi="Arial"/>
          <w:color w:val="2D2D2D"/>
          <w:sz w:val="22"/>
          <w:szCs w:val="22"/>
        </w:rPr>
        <w:t xml:space="preserve">Inscribir bancos de datos ante la ANPD (Ley 29733 + DS 016-2024-JUS).</w:t>
      </w:r>
    </w:p>
    <w:p>
      <w:pPr>
        <w:pStyle w:val="ListParagraph"/>
        <w:numPr>
          <w:ilvl w:val="0"/>
          <w:numId w:val="2"/>
        </w:numPr>
        <w:spacing w:after="100"/>
      </w:pPr>
      <w:r>
        <w:rPr>
          <w:rFonts w:ascii="Arial" w:cs="Arial" w:eastAsia="Arial" w:hAnsi="Arial"/>
          <w:color w:val="2D2D2D"/>
          <w:sz w:val="22"/>
          <w:szCs w:val="22"/>
        </w:rPr>
        <w:t xml:space="preserve">Consentimientos separados para: uso del servicio, marketing, y compartir datos con agencias.</w:t>
      </w:r>
    </w:p>
    <w:p>
      <w:pPr>
        <w:pStyle w:val="ListParagraph"/>
        <w:numPr>
          <w:ilvl w:val="0"/>
          <w:numId w:val="2"/>
        </w:numPr>
        <w:spacing w:after="100"/>
      </w:pPr>
      <w:r>
        <w:rPr>
          <w:rFonts w:ascii="Arial" w:cs="Arial" w:eastAsia="Arial" w:hAnsi="Arial"/>
          <w:color w:val="2D2D2D"/>
          <w:sz w:val="22"/>
          <w:szCs w:val="22"/>
        </w:rPr>
        <w:t xml:space="preserve">Retención de datos transaccionales: 5 años. Datos de sesión: máximo 90 días.</w:t>
      </w:r>
    </w:p>
    <w:p>
      <w:pPr>
        <w:pStyle w:val="Heading2"/>
      </w:pPr>
      <w:r>
        <w:t xml:space="preserve">9.6 SUNAT y tributación</w:t>
      </w:r>
    </w:p>
    <w:p>
      <w:pPr>
        <w:pStyle w:val="ListParagraph"/>
        <w:numPr>
          <w:ilvl w:val="0"/>
          <w:numId w:val="2"/>
        </w:numPr>
        <w:spacing w:after="100"/>
      </w:pPr>
      <w:r>
        <w:rPr>
          <w:rFonts w:ascii="Arial" w:cs="Arial" w:eastAsia="Arial" w:hAnsi="Arial"/>
          <w:b/>
          <w:bCs/>
          <w:color w:val="2D2D2D"/>
          <w:sz w:val="22"/>
          <w:szCs w:val="22"/>
        </w:rPr>
        <w:t xml:space="preserve">Finde factura solo su comisión (15%) + IGV 18%. </w:t>
      </w:r>
      <w:r>
        <w:rPr>
          <w:rFonts w:ascii="Arial" w:cs="Arial" w:eastAsia="Arial" w:hAnsi="Arial"/>
          <w:color w:val="2D2D2D"/>
          <w:sz w:val="22"/>
          <w:szCs w:val="22"/>
        </w:rPr>
        <w:t xml:space="preserve">Nunca el valor total del tour.</w:t>
      </w:r>
    </w:p>
    <w:p>
      <w:pPr>
        <w:pStyle w:val="ListParagraph"/>
        <w:numPr>
          <w:ilvl w:val="0"/>
          <w:numId w:val="2"/>
        </w:numPr>
        <w:spacing w:after="100"/>
      </w:pPr>
      <w:r>
        <w:rPr>
          <w:rFonts w:ascii="Arial" w:cs="Arial" w:eastAsia="Arial" w:hAnsi="Arial"/>
          <w:color w:val="2D2D2D"/>
          <w:sz w:val="22"/>
          <w:szCs w:val="22"/>
        </w:rPr>
        <w:t xml:space="preserve">La agencia emite su propio comprobante al viajero por el precio total.</w:t>
      </w:r>
    </w:p>
    <w:p>
      <w:pPr>
        <w:pStyle w:val="ListParagraph"/>
        <w:numPr>
          <w:ilvl w:val="0"/>
          <w:numId w:val="2"/>
        </w:numPr>
        <w:spacing w:after="100"/>
      </w:pPr>
      <w:r>
        <w:rPr>
          <w:rFonts w:ascii="Arial" w:cs="Arial" w:eastAsia="Arial" w:hAnsi="Arial"/>
          <w:color w:val="2D2D2D"/>
          <w:sz w:val="22"/>
          <w:szCs w:val="22"/>
        </w:rPr>
        <w:t xml:space="preserve">Todo pago a agencia &gt;S/2,000 debe pasar por medio bancario (Ley 28194).</w:t>
      </w:r>
    </w:p>
    <w:p>
      <w:pPr>
        <w:pStyle w:val="ListParagraph"/>
        <w:numPr>
          <w:ilvl w:val="0"/>
          <w:numId w:val="2"/>
        </w:numPr>
        <w:spacing w:after="100"/>
      </w:pPr>
      <w:r>
        <w:rPr>
          <w:rFonts w:ascii="Arial" w:cs="Arial" w:eastAsia="Arial" w:hAnsi="Arial"/>
          <w:color w:val="2D2D2D"/>
          <w:sz w:val="22"/>
          <w:szCs w:val="22"/>
        </w:rPr>
        <w:t xml:space="preserve">Comprobantes electrónicos vía OSE como Nubefact o Efact (~S/50/mes).</w:t>
      </w:r>
    </w:p>
    <w:p>
      <w:pPr>
        <w:pStyle w:val="Heading2"/>
      </w:pPr>
      <w:r>
        <w:t xml:space="preserve">9.7 Prevención de lavado de activos</w:t>
      </w:r>
    </w:p>
    <w:p>
      <w:pPr>
        <w:spacing w:after="160"/>
      </w:pPr>
      <w:r>
        <w:rPr>
          <w:rFonts w:ascii="Arial" w:cs="Arial" w:eastAsia="Arial" w:hAnsi="Arial"/>
          <w:color w:val="2D2D2D"/>
          <w:sz w:val="22"/>
          <w:szCs w:val="22"/>
        </w:rPr>
        <w:t xml:space="preserve">Como plataforma que intermedia pagos turísticos, Finde es sujeto obligado UIF:</w:t>
      </w:r>
    </w:p>
    <w:p>
      <w:pPr>
        <w:pStyle w:val="ListParagraph"/>
        <w:numPr>
          <w:ilvl w:val="0"/>
          <w:numId w:val="2"/>
        </w:numPr>
        <w:spacing w:after="100"/>
      </w:pPr>
      <w:r>
        <w:rPr>
          <w:rFonts w:ascii="Arial" w:cs="Arial" w:eastAsia="Arial" w:hAnsi="Arial"/>
          <w:color w:val="2D2D2D"/>
          <w:sz w:val="22"/>
          <w:szCs w:val="22"/>
        </w:rPr>
        <w:t xml:space="preserve">Designar Oficial de Cumplimiento.</w:t>
      </w:r>
    </w:p>
    <w:p>
      <w:pPr>
        <w:pStyle w:val="ListParagraph"/>
        <w:numPr>
          <w:ilvl w:val="0"/>
          <w:numId w:val="2"/>
        </w:numPr>
        <w:spacing w:after="100"/>
      </w:pPr>
      <w:r>
        <w:rPr>
          <w:rFonts w:ascii="Arial" w:cs="Arial" w:eastAsia="Arial" w:hAnsi="Arial"/>
          <w:color w:val="2D2D2D"/>
          <w:sz w:val="22"/>
          <w:szCs w:val="22"/>
        </w:rPr>
        <w:t xml:space="preserve">Implementar sistema de prevención de lavado (SPLAFT).</w:t>
      </w:r>
    </w:p>
    <w:p>
      <w:pPr>
        <w:pStyle w:val="ListParagraph"/>
        <w:numPr>
          <w:ilvl w:val="0"/>
          <w:numId w:val="2"/>
        </w:numPr>
        <w:spacing w:after="100"/>
      </w:pPr>
      <w:r>
        <w:rPr>
          <w:rFonts w:ascii="Arial" w:cs="Arial" w:eastAsia="Arial" w:hAnsi="Arial"/>
          <w:color w:val="2D2D2D"/>
          <w:sz w:val="22"/>
          <w:szCs w:val="22"/>
        </w:rPr>
        <w:t xml:space="preserve">Registrar operaciones mayores a S/10,000.</w:t>
      </w:r>
    </w:p>
    <w:p>
      <w:pPr>
        <w:pStyle w:val="ListParagraph"/>
        <w:numPr>
          <w:ilvl w:val="0"/>
          <w:numId w:val="2"/>
        </w:numPr>
        <w:spacing w:after="100"/>
      </w:pPr>
      <w:r>
        <w:rPr>
          <w:rFonts w:ascii="Arial" w:cs="Arial" w:eastAsia="Arial" w:hAnsi="Arial"/>
          <w:color w:val="2D2D2D"/>
          <w:sz w:val="22"/>
          <w:szCs w:val="22"/>
        </w:rPr>
        <w:t xml:space="preserve">Reportar operaciones sospechosas a la UIF-Perú.</w:t>
      </w:r>
    </w:p>
    <w:p>
      <w:r>
        <w:br w:type="page"/>
      </w:r>
    </w:p>
    <w:p>
      <w:pPr>
        <w:pStyle w:val="Heading1"/>
      </w:pPr>
      <w:r>
        <w:t xml:space="preserve">10. Arquitectura de Pagos</w:t>
      </w:r>
    </w:p>
    <w:p>
      <w:pPr>
        <w:pStyle w:val="Heading2"/>
      </w:pPr>
      <w:r>
        <w:t xml:space="preserve">10.1 Pasarela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rPr>
          <w:tblHeader/>
        </w:trPr>
        <w:tc>
          <w:tcPr>
            <w:tcW w:type="dxa" w:w="2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Pasarela</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Comisión</w:t>
            </w:r>
          </w:p>
        </w:tc>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Métodos de pago</w:t>
            </w:r>
          </w:p>
        </w:tc>
        <w:tc>
          <w:tcPr>
            <w:tcW w:type="dxa" w:w="26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 qué</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D2D2D"/>
                <w:sz w:val="20"/>
                <w:szCs w:val="20"/>
              </w:rPr>
              <w:t xml:space="preserve">Culqi (principal)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3.44% + IGV</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Yape, Plin, tarjetas nacionales, BBVA Wallet</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Mayoría de transacciones</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Niubiz (secundaria)</w:t>
            </w:r>
          </w:p>
        </w:tc>
        <w:tc>
          <w:tcPr>
            <w:tcW w:type="dxa" w:w="15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3.99% + IGV</w:t>
            </w:r>
          </w:p>
        </w:tc>
        <w:tc>
          <w:tcPr>
            <w:tcW w:type="dxa" w:w="30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Amex, Diners, tarjetas internacionales</w:t>
            </w:r>
          </w:p>
        </w:tc>
        <w:tc>
          <w:tcPr>
            <w:tcW w:type="dxa" w:w="2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Turistas extranjeros (en soles)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Yape Empresa (alternativa)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2.95% + IGV</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Solo Yape</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Si el volumen justifica integración directa</w:t>
            </w:r>
          </w:p>
        </w:tc>
      </w:tr>
      <w:tr>
        <w:tc>
          <w:tcPr>
            <w:tcW w:type="dxa" w:w="2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PagoEfectivo (fallback)</w:t>
            </w:r>
          </w:p>
        </w:tc>
        <w:tc>
          <w:tcPr>
            <w:tcW w:type="dxa" w:w="15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Variable</w:t>
            </w:r>
          </w:p>
        </w:tc>
        <w:tc>
          <w:tcPr>
            <w:tcW w:type="dxa" w:w="30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Pago en agentes, bodegas</w:t>
            </w:r>
          </w:p>
        </w:tc>
        <w:tc>
          <w:tcPr>
            <w:tcW w:type="dxa" w:w="26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Usuarios sin billetera digital</w:t>
            </w:r>
          </w:p>
        </w:tc>
      </w:tr>
    </w:tbl>
    <w:p>
      <w:pPr>
        <w:spacing w:after="120"/>
      </w:pPr>
    </w:p>
    <w:p>
      <w:pPr>
        <w:pStyle w:val="Heading2"/>
      </w:pPr>
      <w:r>
        <w:t xml:space="preserve">10.2 Reglas de pagos</w:t>
      </w:r>
    </w:p>
    <w:p>
      <w:pPr>
        <w:pStyle w:val="ListParagraph"/>
        <w:numPr>
          <w:ilvl w:val="0"/>
          <w:numId w:val="2"/>
        </w:numPr>
        <w:spacing w:after="100"/>
      </w:pPr>
      <w:r>
        <w:rPr>
          <w:rFonts w:ascii="Arial" w:cs="Arial" w:eastAsia="Arial" w:hAnsi="Arial"/>
          <w:b/>
          <w:bCs/>
          <w:color w:val="2D2D2D"/>
          <w:sz w:val="22"/>
          <w:szCs w:val="22"/>
        </w:rPr>
        <w:t xml:space="preserve">Todo en soles (S/). </w:t>
      </w:r>
      <w:r>
        <w:rPr>
          <w:rFonts w:ascii="Arial" w:cs="Arial" w:eastAsia="Arial" w:hAnsi="Arial"/>
          <w:color w:val="2D2D2D"/>
          <w:sz w:val="22"/>
          <w:szCs w:val="22"/>
        </w:rPr>
        <w:t xml:space="preserve">Una sola moneda para simplificar operaciones.</w:t>
      </w:r>
    </w:p>
    <w:p>
      <w:pPr>
        <w:pStyle w:val="ListParagraph"/>
        <w:numPr>
          <w:ilvl w:val="0"/>
          <w:numId w:val="2"/>
        </w:numPr>
        <w:spacing w:after="100"/>
      </w:pPr>
      <w:r>
        <w:rPr>
          <w:rFonts w:ascii="Arial" w:cs="Arial" w:eastAsia="Arial" w:hAnsi="Arial"/>
          <w:color w:val="2D2D2D"/>
          <w:sz w:val="22"/>
          <w:szCs w:val="22"/>
        </w:rPr>
        <w:t xml:space="preserve">El costo de la pasarela (4-5% con IGV) sale de la comisión de Finde, NO se cobra al viajero.</w:t>
      </w:r>
    </w:p>
    <w:p>
      <w:pPr>
        <w:pStyle w:val="ListParagraph"/>
        <w:numPr>
          <w:ilvl w:val="0"/>
          <w:numId w:val="2"/>
        </w:numPr>
        <w:spacing w:after="100"/>
      </w:pPr>
      <w:r>
        <w:rPr>
          <w:rFonts w:ascii="Arial" w:cs="Arial" w:eastAsia="Arial" w:hAnsi="Arial"/>
          <w:color w:val="2D2D2D"/>
          <w:sz w:val="22"/>
          <w:szCs w:val="22"/>
        </w:rPr>
        <w:t xml:space="preserve">Yape/Plin es el método de pago default (75% de peruanos usa billeteras digitales).</w:t>
      </w:r>
    </w:p>
    <w:p>
      <w:pPr>
        <w:pStyle w:val="ListParagraph"/>
        <w:numPr>
          <w:ilvl w:val="0"/>
          <w:numId w:val="2"/>
        </w:numPr>
        <w:spacing w:after="100"/>
      </w:pPr>
      <w:r>
        <w:rPr>
          <w:rFonts w:ascii="Arial" w:cs="Arial" w:eastAsia="Arial" w:hAnsi="Arial"/>
          <w:color w:val="2D2D2D"/>
          <w:sz w:val="22"/>
          <w:szCs w:val="22"/>
        </w:rPr>
        <w:t xml:space="preserve">Timeout del OTP de Yape: 90 segundos.</w:t>
      </w:r>
    </w:p>
    <w:p>
      <w:pPr>
        <w:pStyle w:val="ListParagraph"/>
        <w:numPr>
          <w:ilvl w:val="0"/>
          <w:numId w:val="2"/>
        </w:numPr>
        <w:spacing w:after="100"/>
      </w:pPr>
      <w:r>
        <w:rPr>
          <w:rFonts w:ascii="Arial" w:cs="Arial" w:eastAsia="Arial" w:hAnsi="Arial"/>
          <w:color w:val="2D2D2D"/>
          <w:sz w:val="22"/>
          <w:szCs w:val="22"/>
        </w:rPr>
        <w:t xml:space="preserve">Conciliación diaria automática con la pasarela.</w:t>
      </w:r>
    </w:p>
    <w:p>
      <w:pPr>
        <w:pStyle w:val="ListParagraph"/>
        <w:numPr>
          <w:ilvl w:val="0"/>
          <w:numId w:val="2"/>
        </w:numPr>
        <w:spacing w:after="100"/>
      </w:pPr>
      <w:r>
        <w:rPr>
          <w:rFonts w:ascii="Arial" w:cs="Arial" w:eastAsia="Arial" w:hAnsi="Arial"/>
          <w:color w:val="2D2D2D"/>
          <w:sz w:val="22"/>
          <w:szCs w:val="22"/>
        </w:rPr>
        <w:t xml:space="preserve">PCI DSS delegado al gateway. Finde NUNCA almacena datos de tarjeta.</w:t>
      </w:r>
    </w:p>
    <w:p>
      <w:pPr>
        <w:pStyle w:val="ListParagraph"/>
        <w:numPr>
          <w:ilvl w:val="0"/>
          <w:numId w:val="2"/>
        </w:numPr>
        <w:spacing w:after="100"/>
      </w:pPr>
      <w:r>
        <w:rPr>
          <w:rFonts w:ascii="Arial" w:cs="Arial" w:eastAsia="Arial" w:hAnsi="Arial"/>
          <w:color w:val="2D2D2D"/>
          <w:sz w:val="22"/>
          <w:szCs w:val="22"/>
        </w:rPr>
        <w:t xml:space="preserve">Apple y Google NO cobran su comisión del 30% porque los tours son servicios físicos, no digitales.</w:t>
      </w:r>
    </w:p>
    <w:p>
      <w:r>
        <w:br w:type="page"/>
      </w:r>
    </w:p>
    <w:p>
      <w:pPr>
        <w:pStyle w:val="Heading1"/>
      </w:pPr>
      <w:r>
        <w:t xml:space="preserve">11. Resumen de Compromisos (SLAs)</w:t>
      </w:r>
    </w:p>
    <w:p>
      <w:pPr>
        <w:spacing w:after="160"/>
      </w:pPr>
      <w:r>
        <w:rPr>
          <w:rFonts w:ascii="Arial" w:cs="Arial" w:eastAsia="Arial" w:hAnsi="Arial"/>
          <w:color w:val="2D2D2D"/>
          <w:sz w:val="22"/>
          <w:szCs w:val="22"/>
        </w:rPr>
        <w:t xml:space="preserve">Estos plazos deben publicarse en la web de Finde como compromiso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Compromiso</w:t>
            </w:r>
          </w:p>
        </w:tc>
        <w:tc>
          <w:tcPr>
            <w:tcW w:type="dxa" w:w="3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Plazo Finde</w:t>
            </w:r>
          </w:p>
        </w:tc>
        <w:tc>
          <w:tcPr>
            <w:tcW w:type="dxa" w:w="29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Lo que hace la competencia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Agencia responde a nueva reserva</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24 horas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Airbnb permite 72h</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Viajero puede reportar problema post-tour</w:t>
            </w:r>
          </w:p>
        </w:tc>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Hasta 72 horas</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Airbnb da 48h</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Finde resuelve una disputa</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5 días hábiles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Airbnb: 5 días</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Devolución de dinero al viajero</w:t>
            </w:r>
          </w:p>
        </w:tc>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5-7 días hábiles</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GetYourGuide: 3-5 días (banca europea)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Pago a las agencias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Quincenal (días 4 y 19)</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Viator/GYG/Klook: mensual</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Respuesta a Libro de Reclamaciones</w:t>
            </w:r>
          </w:p>
        </w:tc>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Máximo 30 días</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Obligatorio por Ley 32495</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Primera respuesta soporte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48 horas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Estándar</w:t>
            </w:r>
          </w:p>
        </w:tc>
      </w:tr>
      <w:tr>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Onboarding agencia nueva (Nivel 1)</w:t>
            </w:r>
          </w:p>
        </w:tc>
        <w:tc>
          <w:tcPr>
            <w:tcW w:type="dxa" w:w="320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3-5 días hábiles</w:t>
            </w:r>
          </w:p>
        </w:tc>
        <w:tc>
          <w:tcPr>
            <w:tcW w:type="dxa" w:w="2960"/>
            <w:tcBorders>
              <w:top w:val="single" w:color="D1D5DB" w:sz="1"/>
              <w:left w:val="single" w:color="D1D5DB" w:sz="1"/>
              <w:bottom w:val="single" w:color="D1D5DB" w:sz="1"/>
              <w:right w:val="single" w:color="D1D5DB" w:sz="1"/>
            </w:tcBorders>
            <w:shd w:fill="F8F6F3" w:val="clear"/>
            <w:tcMar>
              <w:top w:type="dxa" w:w="80"/>
              <w:left w:type="dxa" w:w="120"/>
              <w:bottom w:type="dxa" w:w="80"/>
              <w:right w:type="dxa" w:w="120"/>
            </w:tcMar>
          </w:tcPr>
          <w:p>
            <w:r>
              <w:rPr>
                <w:rFonts w:ascii="Arial" w:cs="Arial" w:eastAsia="Arial" w:hAnsi="Arial"/>
                <w:b w:val="false"/>
                <w:bCs w:val="false"/>
                <w:color w:val="2D2D2D"/>
                <w:sz w:val="20"/>
                <w:szCs w:val="20"/>
              </w:rPr>
              <w:t xml:space="preserve">Viator: 1-2 semanas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Apelación de desactivación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30 días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D2D2D"/>
                <w:sz w:val="20"/>
                <w:szCs w:val="20"/>
              </w:rPr>
              <w:t xml:space="preserve">Airbnb: 30 días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1"/>
              <w:left w:val="single" w:color="C7613A" w:sz="12"/>
              <w:bottom w:val="single" w:color="D4A843" w:sz="1"/>
              <w:right w:val="single" w:color="D4A843" w:sz="1"/>
            </w:tcBorders>
            <w:shd w:fill="FFF8F0" w:val="clear"/>
            <w:tcMar>
              <w:top w:type="dxa" w:w="120"/>
              <w:left w:type="dxa" w:w="200"/>
              <w:bottom w:type="dxa" w:w="120"/>
              <w:right w:type="dxa" w:w="200"/>
            </w:tcMar>
          </w:tcPr>
          <w:p>
            <w:pPr>
              <w:spacing w:after="80"/>
            </w:pPr>
            <w:r>
              <w:rPr>
                <w:rFonts w:ascii="Arial" w:cs="Arial" w:eastAsia="Arial" w:hAnsi="Arial"/>
                <w:b/>
                <w:bCs/>
                <w:color w:val="C7613A"/>
                <w:sz w:val="22"/>
                <w:szCs w:val="22"/>
              </w:rPr>
              <w:t xml:space="preserve">El stack de confianza de Finde</w:t>
            </w:r>
          </w:p>
          <w:p>
            <w:r>
              <w:rPr>
                <w:rFonts w:ascii="Arial" w:cs="Arial" w:eastAsia="Arial" w:hAnsi="Arial"/>
                <w:color w:val="2D2D2D"/>
                <w:sz w:val="20"/>
                <w:szCs w:val="20"/>
              </w:rPr>
              <w:t xml:space="preserve">Liquidación quincenal + Finde Guarantee + soporte 24/7 en español peruano vía WhatsApp + Libro de Reclamaciones visible + verificación de agencias + precio total transparente. Esto es lo que ninguna OTA global puede replicar rápidamente en Perú, y lo que diferencia a Finde de agencias informales sin garantías.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4"/>
      </w:pBdr>
      <w:tabs>
        <w:tab w:val="right" w:pos="9360"/>
      </w:tabs>
    </w:pPr>
    <w:r>
      <w:rPr>
        <w:rFonts w:ascii="Arial" w:cs="Arial" w:eastAsia="Arial" w:hAnsi="Arial"/>
        <w:color w:val="6B7280"/>
        <w:sz w:val="18"/>
        <w:szCs w:val="18"/>
      </w:rPr>
      <w:t xml:space="preserve">Finde · Reglas de Negocio v1.2</w:t>
    </w:r>
    <w:r>
      <w:rPr>
        <w:rFonts w:ascii="Arial" w:cs="Arial" w:eastAsia="Arial" w:hAnsi="Arial"/>
        <w:color w:val="6B7280"/>
        <w:sz w:val="18"/>
        <w:szCs w:val="18"/>
      </w:rPr>
      <w:t xml:space="preserve">	Mayo 2026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C761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2026-05-07T06:10:46.543Z</dcterms:created>
  <dcterms:modified xsi:type="dcterms:W3CDTF">2026-05-07T06:10:46.544Z</dcterms:modified>
</cp:coreProperties>
</file>

<file path=docProps/custom.xml><?xml version="1.0" encoding="utf-8"?>
<Properties xmlns="http://schemas.openxmlformats.org/officeDocument/2006/custom-properties" xmlns:vt="http://schemas.openxmlformats.org/officeDocument/2006/docPropsVTypes"/>
</file>