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BAF8A">
      <w:r>
        <w:rPr>
          <w:rFonts w:hint="default"/>
          <w:lang w:val="ru-RU"/>
        </w:rPr>
        <w:t>1.1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1135" cy="432181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9D6B">
      <w:pPr>
        <w:rPr>
          <w:rFonts w:hint="default"/>
          <w:lang w:val="ru-RU"/>
        </w:rPr>
      </w:pPr>
      <w:r>
        <w:br w:type="textWrapping"/>
      </w:r>
      <w:r>
        <w:rPr>
          <w:rFonts w:hint="default"/>
          <w:lang w:val="ru-RU"/>
        </w:rPr>
        <w:t>1.2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1.3</w:t>
      </w:r>
    </w:p>
    <w:p w14:paraId="0FCA6D5B">
      <w:r>
        <w:drawing>
          <wp:inline distT="0" distB="0" distL="114300" distR="114300">
            <wp:extent cx="5271135" cy="4106545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767E">
      <w:pPr>
        <w:rPr>
          <w:rFonts w:hint="default"/>
          <w:lang w:val="ru-RU"/>
        </w:rPr>
      </w:pPr>
      <w:r>
        <w:t>Задание 1. Аудит колонок и типов.</w:t>
      </w:r>
      <w:r>
        <w:rPr>
          <w:rFonts w:hint="default"/>
        </w:rPr>
        <w:br w:type="textWrapping"/>
      </w:r>
      <w:r>
        <w:rPr>
          <w:rFonts w:hint="default"/>
        </w:rPr>
        <w:t xml:space="preserve">Сравнили «эталонный контракт» (табличная переменная </w:t>
      </w:r>
      <w:r>
        <w:t>@Contract</w:t>
      </w:r>
      <w:r>
        <w:rPr>
          <w:rFonts w:hint="default"/>
        </w:rPr>
        <w:t>) с фактической структурой (INFORMATION_SCHEMA.COLUMNS) через FULL OUTER JOIN, нашли три нарушения: переименование Email → Mail, смена типа DECIMAL → FLOAT, лишние/пропущенные колонки. Через CTE подготовили «плоский» набор данных для будущего представления. Вывод: аудит структуры — это сравнение эталона и факта, а FULL OUTER JOIN — базовый инструмент для поиска любых расхождений.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2.1</w:t>
      </w:r>
    </w:p>
    <w:p w14:paraId="645A5D0E">
      <w:r>
        <w:drawing>
          <wp:inline distT="0" distB="0" distL="114300" distR="114300">
            <wp:extent cx="5271770" cy="4118610"/>
            <wp:effectExtent l="0" t="0" r="508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4024"/>
    <w:p w14:paraId="3E499957">
      <w:r>
        <w:rPr>
          <w:rFonts w:hint="default"/>
          <w:lang w:val="ru-RU"/>
        </w:rPr>
        <w:t>2.2</w:t>
      </w:r>
      <w:r>
        <w:drawing>
          <wp:inline distT="0" distB="0" distL="114300" distR="114300">
            <wp:extent cx="5191125" cy="5229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4C1F">
      <w:pPr>
        <w:rPr>
          <w:rFonts w:hint="default"/>
          <w:lang w:val="ru-RU"/>
        </w:rPr>
      </w:pPr>
      <w:r>
        <w:rPr>
          <w:rFonts w:hint="default"/>
          <w:lang w:val="ru-RU"/>
        </w:rPr>
        <w:t>2.3</w:t>
      </w:r>
    </w:p>
    <w:p w14:paraId="3929EEC1">
      <w:r>
        <w:drawing>
          <wp:inline distT="0" distB="0" distL="114300" distR="114300">
            <wp:extent cx="5273675" cy="361886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551D">
      <w:r>
        <w:t>Задание 2. ROW_NUMBER + SCHEMABINDING + процедура + TVF.</w:t>
      </w:r>
      <w:r>
        <w:rPr>
          <w:rFonts w:hint="default"/>
        </w:rPr>
        <w:br w:type="textWrapping"/>
      </w:r>
      <w:r>
        <w:rPr>
          <w:rFonts w:hint="default"/>
        </w:rPr>
        <w:t xml:space="preserve">Создали </w:t>
      </w:r>
      <w:r>
        <w:t>rpt.vw_AppContract</w:t>
      </w:r>
      <w:r>
        <w:rPr>
          <w:rFonts w:hint="default"/>
        </w:rPr>
        <w:t xml:space="preserve"> с SCHEMABINDING — представление-контракт, защищённое от изменения базовых таблиц. ROW_NUMBER() OVER (PARTITION BY CustomerID ORDER BY OrderDate DESC) даёт «последнюю версию» заказа на клиента. Добавили usp_GetContract с OUTPUT-параметром (скалярная выжимка) и inline TVF для параметризованной фильтрации по городу. Вывод: SCHEMABINDING превращает представление в жёсткий контракт, а ROW_NUMBER — универсальный способ получить актуальную версию записи.</w:t>
      </w:r>
    </w:p>
    <w:p w14:paraId="3BDA5EA6">
      <w:r>
        <w:rPr>
          <w:rFonts w:hint="default"/>
          <w:lang w:val="ru-RU"/>
        </w:rPr>
        <w:t>3.1</w:t>
      </w:r>
      <w:r>
        <w:drawing>
          <wp:inline distT="0" distB="0" distL="114300" distR="114300">
            <wp:extent cx="5273040" cy="2874010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75685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4A50">
      <w:pPr>
        <w:rPr>
          <w:rFonts w:hint="default"/>
          <w:lang w:val="ru-RU"/>
        </w:rPr>
      </w:pPr>
      <w:r>
        <w:rPr>
          <w:rFonts w:hint="default"/>
          <w:lang w:val="ru-RU"/>
        </w:rPr>
        <w:t>3.2</w:t>
      </w:r>
    </w:p>
    <w:p w14:paraId="25BEF638">
      <w:r>
        <w:drawing>
          <wp:inline distT="0" distB="0" distL="114300" distR="114300">
            <wp:extent cx="5273675" cy="1750695"/>
            <wp:effectExtent l="0" t="0" r="317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B10F">
      <w:pPr>
        <w:rPr>
          <w:rFonts w:hint="default"/>
          <w:lang w:val="ru-RU"/>
        </w:rPr>
      </w:pPr>
    </w:p>
    <w:p w14:paraId="56FE8039">
      <w:pPr>
        <w:rPr>
          <w:rFonts w:hint="default"/>
          <w:lang w:val="ru-RU"/>
        </w:rPr>
      </w:pPr>
    </w:p>
    <w:p w14:paraId="32CD8C67">
      <w:pPr>
        <w:rPr>
          <w:rFonts w:hint="default"/>
          <w:lang w:val="ru-RU"/>
        </w:rPr>
      </w:pPr>
      <w:r>
        <w:rPr>
          <w:rFonts w:hint="default"/>
          <w:lang w:val="ru-RU"/>
        </w:rPr>
        <w:t>3.3</w:t>
      </w:r>
    </w:p>
    <w:p w14:paraId="0B27DE14">
      <w:r>
        <w:drawing>
          <wp:inline distT="0" distB="0" distL="114300" distR="114300">
            <wp:extent cx="3829050" cy="508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1C7A">
      <w:pPr>
        <w:rPr>
          <w:rFonts w:hint="default"/>
          <w:lang w:val="ru-RU"/>
        </w:rPr>
      </w:pPr>
      <w:r>
        <w:rPr>
          <w:rFonts w:hint="default"/>
          <w:lang w:val="ru-RU"/>
        </w:rPr>
        <w:t>3.4</w:t>
      </w:r>
    </w:p>
    <w:p w14:paraId="2C10EC59">
      <w:r>
        <w:drawing>
          <wp:inline distT="0" distB="0" distL="114300" distR="114300">
            <wp:extent cx="4286250" cy="5095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1814">
      <w:pPr>
        <w:rPr>
          <w:rFonts w:hint="default"/>
          <w:lang w:val="ru-RU"/>
        </w:rPr>
      </w:pPr>
      <w:r>
        <w:rPr>
          <w:rFonts w:hint="default"/>
          <w:lang w:val="ru-RU"/>
        </w:rPr>
        <w:t>3.5</w:t>
      </w:r>
    </w:p>
    <w:p w14:paraId="223D288E">
      <w:pPr>
        <w:rPr>
          <w:rFonts w:hint="default"/>
          <w:lang w:val="ru-RU"/>
        </w:rPr>
      </w:pPr>
      <w:r>
        <w:t>Задание 3. INSTEAD OF INSERT + транзакции + SNAPSHOT + deadlock.</w:t>
      </w:r>
      <w:r>
        <w:rPr>
          <w:rFonts w:hint="default"/>
        </w:rPr>
        <w:br w:type="textWrapping"/>
      </w:r>
      <w:r>
        <w:rPr>
          <w:rFonts w:hint="default"/>
        </w:rPr>
        <w:t xml:space="preserve">Через </w:t>
      </w:r>
      <w:r>
        <w:t>INSTEAD OF INSERT</w:t>
      </w:r>
      <w:r>
        <w:rPr>
          <w:rFonts w:hint="default"/>
        </w:rPr>
        <w:t xml:space="preserve"> триггер научили представление принимать запись и раскладывать её в app.Customers. Обернули запись в транзакцию с TRY/CATCH и THROW. Показали, что SNAPSHOT позволяет читателю не ждать писателя (читает старую версию из tempdb). Продемонстрировали, что SCHEMABINDING блокирует ALTER COLUMN, а deadlock через представление и базовую таблицу — обычное дело, потому что блокировки ставятся на таблицы, а не на представление. Вывод: представление — логическая абстракция, физически работают базовые таблицы; транзакции, изоляция и блокировки ведут себя так же, как без представления.</w:t>
      </w:r>
    </w:p>
    <w:p w14:paraId="1D42883A">
      <w:r>
        <w:drawing>
          <wp:inline distT="0" distB="0" distL="114300" distR="114300">
            <wp:extent cx="4562475" cy="62293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9A0B">
      <w:pPr>
        <w:rPr>
          <w:rFonts w:hint="default"/>
          <w:lang w:val="ru-RU"/>
        </w:rPr>
      </w:pPr>
      <w:r>
        <w:rPr>
          <w:rFonts w:hint="default"/>
          <w:lang w:val="ru-RU"/>
        </w:rPr>
        <w:t>4.1</w:t>
      </w:r>
    </w:p>
    <w:p w14:paraId="6EBD7C13">
      <w:r>
        <w:drawing>
          <wp:inline distT="0" distB="0" distL="114300" distR="114300">
            <wp:extent cx="5267960" cy="2153920"/>
            <wp:effectExtent l="0" t="0" r="889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E80F"/>
    <w:p w14:paraId="4B555AE7">
      <w:pPr>
        <w:rPr>
          <w:rFonts w:hint="default"/>
          <w:lang w:val="ru-RU"/>
        </w:rPr>
      </w:pPr>
      <w:r>
        <w:rPr>
          <w:rFonts w:hint="default"/>
          <w:lang w:val="ru-RU"/>
        </w:rPr>
        <w:t>4.2</w:t>
      </w:r>
    </w:p>
    <w:p w14:paraId="3405BD91">
      <w:r>
        <w:drawing>
          <wp:inline distT="0" distB="0" distL="114300" distR="114300">
            <wp:extent cx="4914900" cy="5076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FE32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4.3</w:t>
      </w:r>
    </w:p>
    <w:p w14:paraId="5D0706A8">
      <w:pPr>
        <w:keepNext w:val="0"/>
        <w:keepLines w:val="0"/>
        <w:widowControl/>
        <w:suppressLineNumbers w:val="0"/>
        <w:jc w:val="left"/>
      </w:pPr>
      <w:r>
        <w:t>Задание 4. План, cost, indexed view, SARGability, Query Store.</w:t>
      </w:r>
      <w:r>
        <w:rPr>
          <w:rFonts w:hint="default"/>
        </w:rPr>
        <w:br w:type="textWrapping"/>
      </w:r>
      <w:r>
        <w:rPr>
          <w:rFonts w:hint="default"/>
        </w:rPr>
        <w:t xml:space="preserve">Увидели расширение представления в плане (view expansion) и стоимость </w:t>
      </w:r>
      <w:r>
        <w:t>ROW_NUMBER</w:t>
      </w:r>
      <w:r>
        <w:rPr>
          <w:rFonts w:hint="default"/>
        </w:rPr>
        <w:t>. Построили indexed view rpt.vw_OrdersAgg с кластерным индексом по CustomerID — агрегаты по заказам материализованы. Показали, что SARGability требует WITH (NOEXPAND) и индекса по фильтруемой колонке. Query Store фиксирует регрессию после ALTER VIEW (indexed view теряет кластерный индекс). Пакетная вставка в app.Orders нагружает tempdb из-за пересчёта агрегатов. Вывод: indexed view ускоряет агрегаты, но требует NOEXPAND, поддержки индексов и стоит tempdb при записи.</w:t>
      </w:r>
      <w:r>
        <w:t xml:space="preserve"> </w:t>
      </w:r>
    </w:p>
    <w:p w14:paraId="782A5EB2">
      <w:pPr>
        <w:rPr>
          <w:rFonts w:hint="default"/>
          <w:lang w:val="ru-RU"/>
        </w:rPr>
      </w:pPr>
    </w:p>
    <w:p w14:paraId="11F5EB0B">
      <w:r>
        <w:drawing>
          <wp:inline distT="0" distB="0" distL="114300" distR="114300">
            <wp:extent cx="5238750" cy="7191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9257">
      <w:pPr>
        <w:rPr>
          <w:rFonts w:hint="default"/>
          <w:lang w:val="ru-RU"/>
        </w:rPr>
      </w:pPr>
      <w:r>
        <w:rPr>
          <w:rFonts w:hint="default"/>
          <w:lang w:val="ru-RU"/>
        </w:rPr>
        <w:t>5.1</w:t>
      </w:r>
    </w:p>
    <w:p w14:paraId="56479B16">
      <w:r>
        <w:drawing>
          <wp:inline distT="0" distB="0" distL="114300" distR="114300">
            <wp:extent cx="4400550" cy="533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0961">
      <w:pPr>
        <w:rPr>
          <w:rFonts w:hint="default"/>
          <w:lang w:val="ru-RU"/>
        </w:rPr>
      </w:pPr>
      <w:r>
        <w:rPr>
          <w:rFonts w:hint="default"/>
          <w:lang w:val="ru-RU"/>
        </w:rPr>
        <w:t>5.2</w:t>
      </w:r>
    </w:p>
    <w:p w14:paraId="5711E08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848225" cy="51054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Задание 5. GRANT/DENY, RLS, Audit, backup/restore.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Через </w:t>
      </w:r>
      <w:r>
        <w:rPr>
          <w:lang w:val="en-US" w:eastAsia="zh-CN"/>
        </w:rPr>
        <w:t>GRANT SELECT ON представление</w:t>
      </w:r>
      <w:r>
        <w:rPr>
          <w:rFonts w:hint="default"/>
          <w:lang w:val="en-US" w:eastAsia="zh-CN"/>
        </w:rPr>
        <w:t xml:space="preserve"> + DENY SELECT ON базовые таблицы дали пользователю доступ только к представлению — классический приём «контракт через представление». RLS реализовали двумя способами: через WHERE в представлении и через SECURITY POLICY с FILTER/BLOCK предикатами. Audit настроили через SERVER AUDIT + DATABASE AUDIT SPECIFICATION на SELECT по представлению. Full + log backup, восстановление в другую БД, проверка indexed view через sys.indexes. Вывод: представление — естественная точка для разграничения доступа и RLS; indexed view корректно восстанавливается вместе с БД, если соблюдены требования к её созданию.</w:t>
      </w:r>
      <w:r>
        <w:rPr>
          <w:lang w:val="en-US" w:eastAsia="zh-CN"/>
        </w:rPr>
        <w:t xml:space="preserve"> </w:t>
      </w:r>
    </w:p>
    <w:p w14:paraId="06C1F34A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70956"/>
    <w:rsid w:val="79F7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2026-10-16T10:04:00Z</dcterms:created>
  <dc:creator>hodok</dc:creator>
  <cp:lastModifiedBy>hodok</cp:lastModifiedBy>
  <dcterms:modified xsi:type="dcterms:W3CDTF">2026-10-16T10:26:42Z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18E386BDF3294DC38110C0518209BE4F_11</vt:lpwstr>
  </property>
  <property fmtid="{D5CDD505-2E9C-101B-9397-08002B2CF9AE}" pid="4" name="KSOTemplateDocerSaveRecord">
    <vt:lpwstr>eyJoZGlkIjoiOGMwNzBkZWMyZjcxZDQyNTkyMjQzZGI0YzZhMmI1ZWYifQ==</vt:lpwstr>
  </property>
</Properties>
</file>