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240"/>
        <w:tblBorders>
          <w:top w:val="none"/>
          <w:left w:val="none"/>
          <w:bottom w:val="none"/>
          <w:right w:val="none"/>
          <w:insideH w:val="none"/>
          <w:insideV w:val="none"/>
        </w:tblBorders>
      </w:tblPr>
      <w:tblGrid>
        <w:gridCol w:w="1400"/>
        <w:gridCol w:w="9840"/>
      </w:tblGrid>
      <w:tr>
        <w:tc>
          <w:tcPr>
            <w:tcW w:type="dxa" w:w="1400"/>
            <w:vAlign w:val="center"/>
          </w:tcPr>
          <w:p>
            <w:r>
              <w:drawing>
                <wp:inline distT="0" distB="0" distL="0" distR="0">
                  <wp:extent cx="666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762000"/>
                          </a:xfrm>
                          <a:prstGeom prst="rect">
                            <a:avLst/>
                          </a:prstGeom>
                        </pic:spPr>
                      </pic:pic>
                    </a:graphicData>
                  </a:graphic>
                </wp:inline>
              </w:drawing>
            </w:r>
          </w:p>
        </w:tc>
        <w:tc>
          <w:tcPr>
            <w:tcW w:type="dxa" w:w="9840"/>
            <w:vAlign w:val="center"/>
          </w:tcPr>
          <w:p>
            <w:pPr>
              <w:spacing w:after="20"/>
            </w:pPr>
            <w:r>
              <w:rPr>
                <w:rFonts w:ascii="Georgia" w:cs="Georgia" w:eastAsia="Georgia" w:hAnsi="Georgia"/>
                <w:b/>
                <w:bCs/>
                <w:color w:val="84010A"/>
                <w:sz w:val="40"/>
                <w:szCs w:val="40"/>
              </w:rPr>
              <w:t xml:space="preserve">DIVINEGUARD</w:t>
            </w:r>
          </w:p>
          <w:p>
            <w:r>
              <w:rPr>
                <w:rFonts w:ascii="Georgia" w:cs="Georgia" w:eastAsia="Georgia" w:hAnsi="Georgia"/>
                <w:b/>
                <w:bCs/>
                <w:color w:val="9C7A3E"/>
                <w:sz w:val="22"/>
                <w:szCs w:val="22"/>
              </w:rPr>
              <w:t xml:space="preserve">IT SERVICES, LLC</w:t>
            </w:r>
          </w:p>
        </w:tc>
      </w:tr>
    </w:tbl>
    <w:p>
      <w:pPr>
        <w:pStyle w:val="Title"/>
        <w:spacing w:after="200" w:before="160"/>
        <w:jc w:val="center"/>
      </w:pPr>
      <w:r>
        <w:rPr>
          <w:rFonts w:ascii="Calibri" w:cs="Calibri" w:eastAsia="Calibri" w:hAnsi="Calibri"/>
          <w:b/>
          <w:bCs/>
          <w:color w:val="000000"/>
          <w:sz w:val="36"/>
          <w:szCs w:val="28"/>
        </w:rPr>
        <w:t xml:space="preserve">CAPABILITY STATEMENT</w:t>
      </w:r>
    </w:p>
    <w:tbl>
      <w:tblPr>
        <w:tblW w:type="dxa" w:w="11240"/>
        <w:tblBorders>
          <w:top w:val="none"/>
          <w:left w:val="none"/>
          <w:bottom w:val="none"/>
          <w:right w:val="none"/>
          <w:insideH w:val="none"/>
          <w:insideV w:val="none"/>
        </w:tblBorders>
      </w:tblPr>
      <w:tblGrid>
        <w:gridCol w:w="3200"/>
        <w:gridCol w:w="8040"/>
      </w:tblGrid>
      <w:tr>
        <w:tc>
          <w:tcPr>
            <w:tcW w:type="dxa" w:w="3200"/>
            <w:shd w:fill="FBF7EE" w:val="clear"/>
            <w:tcMar>
              <w:top w:type="dxa" w:w="160"/>
              <w:left w:type="dxa" w:w="180"/>
              <w:bottom w:type="dxa" w:w="160"/>
              <w:right w:type="dxa" w:w="180"/>
            </w:tcMar>
          </w:tcPr>
          <w:p>
            <w:pPr>
              <w:spacing w:after="80" w:before="0" w:line="240" w:lineRule="auto"/>
            </w:pPr>
            <w:r>
              <w:rPr>
                <w:rFonts w:ascii="Calibri" w:hAnsi="Calibri"/>
                <w:b/>
                <w:color w:val="000000"/>
                <w:sz w:val="20"/>
              </w:rPr>
              <w:t>Company Information</w:t>
            </w:r>
          </w:p>
          <w:p>
            <w:pPr>
              <w:spacing w:after="100" w:before="0" w:line="240" w:lineRule="auto"/>
            </w:pPr>
            <w:r>
              <w:rPr>
                <w:rFonts w:ascii="Calibri" w:hAnsi="Calibri"/>
                <w:b w:val="0"/>
                <w:color w:val="000000"/>
                <w:sz w:val="18"/>
              </w:rPr>
              <w:t>UEI  SEMFBAQ3KHJ5</w:t>
            </w:r>
          </w:p>
          <w:p>
            <w:pPr>
              <w:spacing w:after="100" w:before="0" w:line="240" w:lineRule="auto"/>
            </w:pPr>
            <w:r>
              <w:rPr>
                <w:rFonts w:ascii="Calibri" w:hAnsi="Calibri"/>
                <w:b w:val="0"/>
                <w:color w:val="000000"/>
                <w:sz w:val="18"/>
              </w:rPr>
              <w:t>CAGE  22LW0</w:t>
            </w:r>
          </w:p>
          <w:p>
            <w:pPr>
              <w:spacing w:after="100" w:before="0" w:line="240" w:lineRule="auto"/>
            </w:pPr>
            <w:r>
              <w:rPr>
                <w:rFonts w:ascii="Calibri" w:hAnsi="Calibri"/>
                <w:b w:val="0"/>
                <w:color w:val="000000"/>
                <w:sz w:val="18"/>
              </w:rPr>
              <w:t>North Las Vegas, Nevada</w:t>
            </w:r>
          </w:p>
          <w:p>
            <w:pPr>
              <w:spacing w:after="100" w:before="0" w:line="240" w:lineRule="auto"/>
            </w:pPr>
            <w:r>
              <w:rPr>
                <w:rFonts w:ascii="Calibri" w:hAnsi="Calibri"/>
                <w:b w:val="0"/>
                <w:color w:val="000000"/>
                <w:sz w:val="18"/>
              </w:rPr>
              <w:t>1009 Appaloosa Hills Ave</w:t>
              <w:br/>
              <w:t>North Las Vegas, NV 89081</w:t>
            </w:r>
          </w:p>
          <w:p>
            <w:pPr>
              <w:spacing w:after="100" w:before="0" w:line="240" w:lineRule="auto"/>
            </w:pPr>
            <w:r>
              <w:rPr>
                <w:rFonts w:ascii="Calibri" w:hAnsi="Calibri"/>
                <w:b w:val="0"/>
                <w:color w:val="000000"/>
                <w:sz w:val="18"/>
              </w:rPr>
              <w:t>divineguarditservices.netlify.app</w:t>
            </w:r>
          </w:p>
          <w:p>
            <w:pPr>
              <w:spacing w:after="140" w:before="0" w:line="240" w:lineRule="auto"/>
            </w:pPr>
            <w:r>
              <w:rPr>
                <w:rFonts w:ascii="Calibri" w:hAnsi="Calibri"/>
                <w:b w:val="0"/>
                <w:color w:val="000000"/>
                <w:sz w:val="16"/>
              </w:rPr>
              <w:t>SAM status and certification documentation available subject to current verification.</w:t>
            </w:r>
          </w:p>
          <w:p>
            <w:pPr>
              <w:spacing w:after="80" w:before="0" w:line="240" w:lineRule="auto"/>
            </w:pPr>
            <w:r>
              <w:rPr>
                <w:rFonts w:ascii="Calibri" w:hAnsi="Calibri"/>
                <w:b/>
                <w:color w:val="000000"/>
                <w:sz w:val="20"/>
              </w:rPr>
              <w:t>Points of Contact</w:t>
            </w:r>
          </w:p>
          <w:p>
            <w:pPr>
              <w:spacing w:after="160" w:before="0" w:line="240" w:lineRule="auto"/>
            </w:pPr>
            <w:r>
              <w:rPr>
                <w:rFonts w:ascii="Calibri" w:hAnsi="Calibri"/>
                <w:b w:val="0"/>
                <w:color w:val="000000"/>
                <w:sz w:val="16"/>
              </w:rPr>
              <w:t>Aaron Frazier Jr.</w:t>
              <w:br/>
              <w:t>Founder, CEO &amp; CTO</w:t>
              <w:br/>
              <w:t>725-324-8779</w:t>
              <w:br/>
              <w:t>AaronFrazier@DGITServices.onmicrosoft.com</w:t>
            </w:r>
          </w:p>
          <w:p>
            <w:pPr>
              <w:spacing w:after="160" w:before="0" w:line="240" w:lineRule="auto"/>
            </w:pPr>
            <w:r>
              <w:rPr>
                <w:rFonts w:ascii="Calibri" w:hAnsi="Calibri"/>
                <w:b w:val="0"/>
                <w:color w:val="000000"/>
                <w:sz w:val="16"/>
              </w:rPr>
              <w:t>Cheyenne Quann</w:t>
              <w:br/>
              <w:t>Business Analyst</w:t>
              <w:br/>
              <w:t>703-928-8854</w:t>
              <w:br/>
              <w:t>Cheyenne.Quann@DGITServices.onmicrosoft.com</w:t>
            </w:r>
          </w:p>
          <w:p>
            <w:pPr>
              <w:spacing w:after="160" w:before="0" w:line="240" w:lineRule="auto"/>
            </w:pPr>
            <w:r>
              <w:rPr>
                <w:rFonts w:ascii="Calibri" w:hAnsi="Calibri"/>
                <w:b w:val="0"/>
                <w:color w:val="000000"/>
                <w:sz w:val="16"/>
              </w:rPr>
              <w:t>Marcetta Frazier</w:t>
              <w:br/>
              <w:t>Program Manager</w:t>
              <w:br/>
              <w:t>725-279-9208</w:t>
              <w:br/>
              <w:t>MarcettaFrazier@DGITServices.onmicrosoft.com</w:t>
            </w:r>
          </w:p>
          <w:p>
            <w:pPr>
              <w:spacing w:after="80" w:before="0" w:line="240" w:lineRule="auto"/>
            </w:pPr>
            <w:r>
              <w:rPr>
                <w:rFonts w:ascii="Calibri" w:hAnsi="Calibri"/>
                <w:b/>
                <w:color w:val="000000"/>
                <w:sz w:val="20"/>
              </w:rPr>
              <w:t>NAICS in Company Records</w:t>
            </w:r>
          </w:p>
          <w:p>
            <w:pPr>
              <w:spacing w:after="100" w:before="0" w:line="240" w:lineRule="auto"/>
            </w:pPr>
            <w:r>
              <w:rPr>
                <w:rFonts w:ascii="Calibri" w:hAnsi="Calibri"/>
                <w:b w:val="0"/>
                <w:color w:val="000000"/>
                <w:sz w:val="16"/>
              </w:rPr>
              <w:t>541511  Custom Computer Programming Services</w:t>
            </w:r>
          </w:p>
          <w:p>
            <w:pPr>
              <w:spacing w:after="100" w:before="0" w:line="240" w:lineRule="auto"/>
            </w:pPr>
            <w:r>
              <w:rPr>
                <w:rFonts w:ascii="Calibri" w:hAnsi="Calibri"/>
                <w:b w:val="0"/>
                <w:color w:val="000000"/>
                <w:sz w:val="16"/>
              </w:rPr>
              <w:t>541512  Computer Systems Design Services</w:t>
            </w:r>
          </w:p>
          <w:p>
            <w:pPr>
              <w:spacing w:after="100" w:before="0" w:line="240" w:lineRule="auto"/>
            </w:pPr>
            <w:r>
              <w:rPr>
                <w:rFonts w:ascii="Calibri" w:hAnsi="Calibri"/>
                <w:b w:val="0"/>
                <w:color w:val="000000"/>
                <w:sz w:val="16"/>
              </w:rPr>
              <w:t>541519  Other Computer Related Services</w:t>
            </w:r>
          </w:p>
        </w:tc>
        <w:tc>
          <w:tcPr>
            <w:tcW w:type="dxa" w:w="8040"/>
            <w:tcMar>
              <w:left w:type="dxa" w:w="220"/>
            </w:tcMar>
          </w:tcPr>
          <w:p>
            <w:pPr>
              <w:spacing w:after="80" w:before="0" w:line="240" w:lineRule="auto"/>
            </w:pPr>
            <w:r>
              <w:rPr>
                <w:rFonts w:ascii="Calibri" w:hAnsi="Calibri"/>
                <w:b/>
                <w:color w:val="000000"/>
                <w:sz w:val="20"/>
              </w:rPr>
              <w:t>Company Overview</w:t>
            </w:r>
          </w:p>
          <w:p>
            <w:pPr>
              <w:spacing w:after="140" w:before="0" w:line="240" w:lineRule="auto"/>
            </w:pPr>
            <w:r>
              <w:rPr>
                <w:rFonts w:ascii="Calibri" w:hAnsi="Calibri"/>
                <w:b w:val="0"/>
                <w:color w:val="000000"/>
                <w:sz w:val="18"/>
              </w:rPr>
              <w:t>DivineGuard IT Services LLC is a North Las Vegas technology business supporting end users, Microsoft 365 environments, practical technology training, and scoped software and automation projects. We define responsibilities, staffing, access and acceptance criteria for each engagement.</w:t>
            </w:r>
          </w:p>
          <w:p>
            <w:pPr>
              <w:spacing w:after="80" w:before="0" w:line="240" w:lineRule="auto"/>
            </w:pPr>
            <w:r>
              <w:rPr>
                <w:rFonts w:ascii="Calibri" w:hAnsi="Calibri"/>
                <w:b/>
                <w:color w:val="000000"/>
                <w:sz w:val="20"/>
              </w:rPr>
              <w:t>Direct Delivery</w:t>
            </w:r>
          </w:p>
          <w:p>
            <w:pPr>
              <w:spacing w:after="100" w:before="0" w:line="240" w:lineRule="auto"/>
            </w:pPr>
            <w:r>
              <w:rPr>
                <w:rFonts w:ascii="Calibri" w:hAnsi="Calibri"/>
                <w:b w:val="0"/>
                <w:color w:val="000000"/>
                <w:sz w:val="18"/>
              </w:rPr>
            </w:r>
            <w:r>
              <w:rPr>
                <w:rFonts w:ascii="Calibri" w:hAnsi="Calibri"/>
                <w:b/>
                <w:color w:val="000000"/>
                <w:sz w:val="18"/>
              </w:rPr>
              <w:t xml:space="preserve">IT support and administration. </w:t>
            </w:r>
            <w:r>
              <w:rPr>
                <w:rFonts w:ascii="Calibri" w:hAnsi="Calibri"/>
                <w:color w:val="000000"/>
                <w:sz w:val="18"/>
              </w:rPr>
              <w:t>Help desk troubleshooting; authorized account and device setup; onboarding and offboarding; Microsoft 365 assistance; connectivity troubleshooting; support documentation.</w:t>
            </w:r>
          </w:p>
          <w:p>
            <w:pPr>
              <w:spacing w:after="100" w:before="0" w:line="240" w:lineRule="auto"/>
            </w:pPr>
            <w:r>
              <w:rPr>
                <w:rFonts w:ascii="Calibri" w:hAnsi="Calibri"/>
                <w:b w:val="0"/>
                <w:color w:val="000000"/>
                <w:sz w:val="18"/>
              </w:rPr>
            </w:r>
            <w:r>
              <w:rPr>
                <w:rFonts w:ascii="Calibri" w:hAnsi="Calibri"/>
                <w:b/>
                <w:color w:val="000000"/>
                <w:sz w:val="18"/>
              </w:rPr>
              <w:t xml:space="preserve">Software and web development. </w:t>
            </w:r>
            <w:r>
              <w:rPr>
                <w:rFonts w:ascii="Calibri" w:hAnsi="Calibri"/>
                <w:color w:val="000000"/>
                <w:sz w:val="18"/>
              </w:rPr>
              <w:t>Scoped websites and web applications; frontend and backend development; API integrations; database and workflow tooling; software testing, fixes and deployment documentation. Technology selection and staffing are confirmed per project.</w:t>
            </w:r>
          </w:p>
          <w:p>
            <w:pPr>
              <w:spacing w:after="100" w:before="0" w:line="240" w:lineRule="auto"/>
            </w:pPr>
            <w:r>
              <w:rPr>
                <w:rFonts w:ascii="Calibri" w:hAnsi="Calibri"/>
                <w:b w:val="0"/>
                <w:color w:val="000000"/>
                <w:sz w:val="18"/>
              </w:rPr>
            </w:r>
            <w:r>
              <w:rPr>
                <w:rFonts w:ascii="Calibri" w:hAnsi="Calibri"/>
                <w:b/>
                <w:color w:val="000000"/>
                <w:sz w:val="18"/>
              </w:rPr>
              <w:t xml:space="preserve">AI consulting and workflow support. </w:t>
            </w:r>
            <w:r>
              <w:rPr>
                <w:rFonts w:ascii="Calibri" w:hAnsi="Calibri"/>
                <w:color w:val="000000"/>
                <w:sz w:val="18"/>
              </w:rPr>
              <w:t>AI use-case discovery; approved-tool setup; prompt and knowledge-content preparation; human-reviewed workflows; integration planning and evaluation of outputs.</w:t>
            </w:r>
          </w:p>
          <w:p>
            <w:pPr>
              <w:spacing w:after="100" w:before="0" w:line="240" w:lineRule="auto"/>
            </w:pPr>
            <w:r>
              <w:rPr>
                <w:rFonts w:ascii="Calibri" w:hAnsi="Calibri"/>
                <w:b w:val="0"/>
                <w:color w:val="000000"/>
                <w:sz w:val="18"/>
              </w:rPr>
            </w:r>
            <w:r>
              <w:rPr>
                <w:rFonts w:ascii="Calibri" w:hAnsi="Calibri"/>
                <w:b/>
                <w:color w:val="000000"/>
                <w:sz w:val="18"/>
              </w:rPr>
              <w:t xml:space="preserve">Cybersecurity support. </w:t>
            </w:r>
            <w:r>
              <w:rPr>
                <w:rFonts w:ascii="Calibri" w:hAnsi="Calibri"/>
                <w:color w:val="000000"/>
                <w:sz w:val="18"/>
              </w:rPr>
              <w:t>Security awareness training; basic configuration and access-hygiene assistance; incident documentation and escalation within authorized scope.</w:t>
            </w:r>
          </w:p>
          <w:p>
            <w:pPr>
              <w:spacing w:after="100" w:before="0" w:line="240" w:lineRule="auto"/>
            </w:pPr>
            <w:r>
              <w:rPr>
                <w:rFonts w:ascii="Calibri" w:hAnsi="Calibri"/>
                <w:b w:val="0"/>
                <w:color w:val="000000"/>
                <w:sz w:val="18"/>
              </w:rPr>
            </w:r>
            <w:r>
              <w:rPr>
                <w:rFonts w:ascii="Calibri" w:hAnsi="Calibri"/>
                <w:b/>
                <w:color w:val="000000"/>
                <w:sz w:val="18"/>
              </w:rPr>
              <w:t xml:space="preserve">Training and business reporting. </w:t>
            </w:r>
            <w:r>
              <w:rPr>
                <w:rFonts w:ascii="Calibri" w:hAnsi="Calibri"/>
                <w:color w:val="000000"/>
                <w:sz w:val="18"/>
              </w:rPr>
              <w:t>Digital literacy, Microsoft 365, introductory coding and AI instruction; user guides and hands-on exercises; scoped reporting and dashboards.</w:t>
            </w:r>
          </w:p>
          <w:p>
            <w:pPr>
              <w:spacing w:after="80" w:before="0" w:line="240" w:lineRule="auto"/>
            </w:pPr>
            <w:r>
              <w:rPr>
                <w:rFonts w:ascii="Calibri" w:hAnsi="Calibri"/>
                <w:b/>
                <w:color w:val="000000"/>
                <w:sz w:val="20"/>
              </w:rPr>
              <w:t>Qualified Partner Required</w:t>
            </w:r>
          </w:p>
          <w:p>
            <w:pPr>
              <w:spacing w:after="140" w:before="0" w:line="240" w:lineRule="auto"/>
            </w:pPr>
            <w:r>
              <w:rPr>
                <w:rFonts w:ascii="Calibri" w:hAnsi="Calibri"/>
                <w:b w:val="0"/>
                <w:color w:val="000000"/>
                <w:sz w:val="18"/>
              </w:rPr>
              <w:t>Enterprise signage CMS, interactive wayfinding, mapping and platform integrations; specialist AV installation, hardware maintenance, spares and event operations; guaranteed 24/7 coverage or rapid on-site response; advanced security architecture, penetration testing and formal compliance assessments. Partner scope, qualifications, pricing and service commitments must be established in writing; customer approval applies where required.</w:t>
            </w:r>
          </w:p>
          <w:p>
            <w:pPr>
              <w:spacing w:after="80" w:before="0" w:line="240" w:lineRule="auto"/>
            </w:pPr>
            <w:r>
              <w:rPr>
                <w:rFonts w:ascii="Calibri" w:hAnsi="Calibri"/>
                <w:b/>
                <w:color w:val="000000"/>
                <w:sz w:val="20"/>
              </w:rPr>
              <w:t>In Development</w:t>
            </w:r>
          </w:p>
          <w:p>
            <w:pPr>
              <w:spacing w:after="140" w:before="0" w:line="240" w:lineRule="auto"/>
            </w:pPr>
            <w:r>
              <w:rPr>
                <w:rFonts w:ascii="Calibri" w:hAnsi="Calibri"/>
                <w:b w:val="0"/>
                <w:color w:val="000000"/>
                <w:sz w:val="18"/>
              </w:rPr>
              <w:t>Managed AI receptionist and automated booking services; GovCon Pulse opportunity tracking; expanded full-stack and AI engineering offerings. Pilots require configuration and testing before production commitments.</w:t>
            </w:r>
          </w:p>
          <w:p>
            <w:pPr>
              <w:spacing w:before="0" w:after="100" w:line="240" w:lineRule="auto"/>
            </w:pPr>
            <w:r>
              <w:rPr>
                <w:rFonts w:ascii="Calibri" w:hAnsi="Calibri"/>
                <w:b/>
                <w:color w:val="000000"/>
                <w:sz w:val="20"/>
              </w:rPr>
              <w:t>Education and Workforce Development</w:t>
            </w:r>
          </w:p>
          <w:p>
            <w:pPr>
              <w:spacing w:before="0" w:after="100" w:line="240" w:lineRule="auto"/>
            </w:pPr>
            <w:r>
              <w:rPr>
                <w:rFonts w:ascii="Calibri" w:hAnsi="Calibri"/>
                <w:b w:val="0"/>
                <w:color w:val="000000"/>
                <w:sz w:val="18"/>
              </w:rPr>
              <w:t>IT workforce training pathways proposed for City of Las Vegas, College of Southern Nevada (CSN), and Westside Education and Training Center initiatives. Sonia Mendez has invited Aaron to discuss the curriculum, next steps and IT instructor position details; Aaron confirmed October 27. Proposed initial focus: IT fundamentals and CompTIA A+ preparation, with networking, cybersecurity, cloud, coding and professional skills considered as the program develops. Role, curriculum, staffing and start date remain subject to program approval.</w:t>
            </w:r>
          </w:p>
          <w:p>
            <w:pPr>
              <w:spacing w:after="80" w:before="0" w:line="240" w:lineRule="auto"/>
            </w:pPr>
            <w:r>
              <w:rPr>
                <w:rFonts w:ascii="Calibri" w:hAnsi="Calibri"/>
                <w:b/>
                <w:color w:val="000000"/>
                <w:sz w:val="20"/>
              </w:rPr>
              <w:t>Delivery Approach</w:t>
            </w:r>
          </w:p>
          <w:p>
            <w:pPr>
              <w:spacing w:after="60" w:before="0" w:line="240" w:lineRule="auto"/>
            </w:pPr>
            <w:r>
              <w:rPr>
                <w:rFonts w:ascii="Calibri" w:hAnsi="Calibri"/>
                <w:b w:val="0"/>
                <w:color w:val="000000"/>
                <w:sz w:val="18"/>
              </w:rPr>
              <w:t>Local coordination with project-specific remote or on-site availability. Documented tickets, requirements, test evidence and handoffs. Client-approved changes and clear escalation paths. Corporate references and individual experience are identified separately; references supplied only with permission.</w:t>
            </w:r>
          </w:p>
        </w:tc>
      </w:tr>
    </w:tbl>
    <w:p>
      <w:pPr>
        <w:pBdr>
          <w:top w:val="single" w:color="D5AA5F" w:sz="6" w:space="12"/>
          <w:bottom w:val="single" w:color="D5AA5F" w:sz="6" w:space="12"/>
        </w:pBdr>
        <w:shd w:fill="84010A" w:val="clear"/>
        <w:spacing w:before="120"/>
        <w:jc w:val="center"/>
      </w:pPr>
      <w:r>
        <w:t>IT Support  |  Software Development  |  AI and Technology Training</w:t>
      </w:r>
    </w:p>
    <w:sectPr>
      <w:footerReference w:type="default" r:id="rId9"/>
      <w:pgSz w:w="12240" w:h="15840" w:orient="portrait"/>
      <w:pgMar w:top="461" w:right="500" w:bottom="461"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Updated October 21,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Calibri" w:hAnsi="Calibri"/>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40a972fd794b9ab592275c611d15288fa99e43.png"/><Relationship Id="rId8" Type="http://schemas.openxmlformats.org/officeDocument/2006/relationships/fontTable" Target="fontTable.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2026-08-12T20:59:14.018Z</dcterms:created>
  <dcterms:modified xsi:type="dcterms:W3CDTF">2026-08-12T20:59:14.043Z</dcterms:modified>
</cp:coreProperties>
</file>

<file path=docProps/custom.xml><?xml version="1.0" encoding="utf-8"?>
<Properties xmlns="http://schemas.openxmlformats.org/officeDocument/2006/custom-properties" xmlns:vt="http://schemas.openxmlformats.org/officeDocument/2006/docPropsVTypes"/>
</file>