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1C11A">
      <w:pPr>
        <w:spacing w:line="560" w:lineRule="exact"/>
        <w:jc w:val="center"/>
        <w:rPr>
          <w:rFonts w:ascii="华文中宋" w:hAnsi="华文中宋" w:eastAsia="华文中宋"/>
          <w:sz w:val="44"/>
          <w:szCs w:val="44"/>
          <w:lang w:eastAsia="zh-CN"/>
        </w:rPr>
      </w:pPr>
      <w:r>
        <w:rPr>
          <w:rFonts w:hint="eastAsia" w:ascii="华文中宋" w:hAnsi="华文中宋" w:eastAsia="华文中宋"/>
          <w:sz w:val="44"/>
          <w:szCs w:val="44"/>
          <w:lang w:eastAsia="zh-CN"/>
        </w:rPr>
        <w:t>会议纪要</w:t>
      </w:r>
    </w:p>
    <w:p w14:paraId="789ED959">
      <w:pPr>
        <w:spacing w:line="560" w:lineRule="exact"/>
        <w:rPr>
          <w:rFonts w:hint="eastAsia" w:ascii="仿宋_GB2312" w:eastAsia="仿宋_GB2312"/>
          <w:sz w:val="32"/>
          <w:szCs w:val="32"/>
          <w:lang w:eastAsia="zh-CN"/>
        </w:rPr>
      </w:pP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6813"/>
      </w:tblGrid>
      <w:tr w14:paraId="2BF1935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4D9EC9F">
            <w:pPr>
              <w:spacing w:after="0" w:line="560" w:lineRule="exact"/>
              <w:jc w:val="center"/>
              <w:rPr>
                <w:rFonts w:hint="eastAsia" w:ascii="仿宋_GB2312" w:eastAsia="仿宋_GB2312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b w:val="0"/>
                <w:bCs w:val="0"/>
                <w:color w:val="000000"/>
                <w:sz w:val="32"/>
                <w:szCs w:val="32"/>
              </w:rPr>
              <w:t>生成时间</w:t>
            </w:r>
          </w:p>
        </w:tc>
        <w:tc>
          <w:tcPr>
            <w:tcW w:w="681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7575200">
            <w:pPr>
              <w:spacing w:after="0" w:line="560" w:lineRule="exact"/>
              <w:jc w:val="center"/>
              <w:rPr>
                <w:rFonts w:hint="eastAsia" w:ascii="仿宋_GB2312" w:eastAsia="仿宋_GB2312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b w:val="0"/>
                <w:bCs w:val="0"/>
                <w:color w:val="000000"/>
                <w:sz w:val="32"/>
                <w:szCs w:val="32"/>
              </w:rPr>
              <w:t>2025年12月18日 上午7:00</w:t>
            </w:r>
          </w:p>
        </w:tc>
      </w:tr>
      <w:tr w14:paraId="42857A4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DAEDD3A">
            <w:pPr>
              <w:spacing w:after="0" w:line="560" w:lineRule="exact"/>
              <w:jc w:val="center"/>
              <w:rPr>
                <w:rFonts w:hint="eastAsia" w:ascii="仿宋_GB2312" w:eastAsia="仿宋_GB2312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b w:val="0"/>
                <w:bCs w:val="0"/>
                <w:color w:val="000000"/>
                <w:sz w:val="32"/>
                <w:szCs w:val="32"/>
              </w:rPr>
              <w:t>音频时长</w:t>
            </w:r>
          </w:p>
        </w:tc>
        <w:tc>
          <w:tcPr>
            <w:tcW w:w="681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869EBBC">
            <w:pPr>
              <w:spacing w:after="0" w:line="560" w:lineRule="exac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85分钟 45秒</w:t>
            </w:r>
          </w:p>
        </w:tc>
      </w:tr>
      <w:tr w14:paraId="7BB4E67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3" w:type="dxa"/>
          </w:tcPr>
          <w:p w14:paraId="15B05CEB">
            <w:pPr>
              <w:spacing w:after="0" w:line="560" w:lineRule="exact"/>
              <w:jc w:val="center"/>
              <w:rPr>
                <w:rFonts w:hint="eastAsia" w:ascii="仿宋_GB2312" w:eastAsia="仿宋_GB2312"/>
                <w:b w:val="0"/>
                <w:bCs w:val="0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b w:val="0"/>
                <w:bCs w:val="0"/>
                <w:color w:val="000000"/>
                <w:sz w:val="32"/>
                <w:szCs w:val="32"/>
              </w:rPr>
              <w:t>音频文件</w:t>
            </w:r>
          </w:p>
        </w:tc>
        <w:tc>
          <w:tcPr>
            <w:tcW w:w="6813" w:type="dxa"/>
          </w:tcPr>
          <w:p w14:paraId="29E97186">
            <w:pPr>
              <w:spacing w:after="0" w:line="560" w:lineRule="exac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talk85.mp3</w:t>
            </w:r>
          </w:p>
        </w:tc>
      </w:tr>
    </w:tbl>
    <w:p w14:paraId="65FA3354">
      <w:pPr>
        <w:spacing w:line="560" w:lineRule="exact"/>
        <w:rPr>
          <w:rFonts w:ascii="仿宋_GB2312" w:eastAsia="仿宋_GB2312"/>
          <w:sz w:val="32"/>
          <w:szCs w:val="32"/>
          <w:lang w:eastAsia="zh-CN"/>
        </w:rPr>
      </w:pPr>
    </w:p>
    <w:p w14:paraId="0ED5D7A7">
      <w:pPr>
        <w:spacing w:after="0" w:line="560" w:lineRule="exact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会议主题：北京市与武汉市规划自然资源部门关于功能混合用地、城市更新及土地管理政策的交流研讨会</w:t>
      </w:r>
    </w:p>
    <w:p w14:paraId="3CBED61E">
      <w:pPr>
        <w:spacing w:after="0" w:line="560" w:lineRule="exact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主持人：发言人3</w:t>
      </w:r>
    </w:p>
    <w:p w14:paraId="00291C70">
      <w:pPr>
        <w:spacing w:after="0" w:line="560" w:lineRule="exact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参会人数：6人</w:t>
      </w:r>
      <w:bookmarkStart w:id="0" w:name="_GoBack"/>
      <w:bookmarkEnd w:id="0"/>
    </w:p>
    <w:p w14:paraId="1113E418">
      <w:pPr>
        <w:spacing w:line="560" w:lineRule="exact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关键词：</w:t>
      </w: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规划 时候 阶段 功能 土地 方案 北京 核验 商业 条件 项目 部门 许可 用地 情况 实施方案 内容 基本上 政策 规模</w:t>
      </w:r>
    </w:p>
    <w:p w14:paraId="43222C7C">
      <w:pPr>
        <w:spacing w:line="560" w:lineRule="exact"/>
        <w:jc w:val="both"/>
        <w:rPr>
          <w:rFonts w:hint="eastAsia" w:ascii="仿宋_GB2312" w:eastAsia="仿宋_GB2312"/>
          <w:sz w:val="32"/>
          <w:szCs w:val="32"/>
          <w:lang w:eastAsia="zh-CN"/>
        </w:rPr>
      </w:pPr>
    </w:p>
    <w:p w14:paraId="4C906AB7">
      <w:pPr>
        <w:spacing w:after="120" w:line="560" w:lineRule="exact"/>
        <w:ind w:firstLine="640" w:firstLineChars="200"/>
        <w:jc w:val="both"/>
        <w:rPr>
          <w:rFonts w:hint="eastAsia" w:ascii="黑体" w:hAnsi="黑体" w:eastAsia="黑体"/>
          <w:bCs/>
          <w:sz w:val="32"/>
          <w:szCs w:val="32"/>
          <w:lang w:eastAsia="zh-CN"/>
        </w:rPr>
      </w:pPr>
      <w:r>
        <w:rPr>
          <w:rFonts w:hint="eastAsia" w:ascii="黑体" w:hAnsi="黑体" w:eastAsia="黑体"/>
          <w:bCs/>
          <w:color w:val="000000"/>
          <w:sz w:val="32"/>
          <w:szCs w:val="32"/>
          <w:lang w:eastAsia="zh-CN"/>
        </w:rPr>
        <w:t>一、会议议题及讨论内容</w:t>
      </w:r>
    </w:p>
    <w:p w14:paraId="0FA47AEA">
      <w:pPr>
        <w:spacing w:after="120" w:line="560" w:lineRule="exact"/>
        <w:ind w:firstLine="640" w:firstLineChars="200"/>
        <w:jc w:val="both"/>
        <w:rPr>
          <w:rFonts w:hint="eastAsia" w:ascii="楷体_GB2312" w:eastAsia="楷体_GB2312"/>
          <w:bCs/>
          <w:sz w:val="32"/>
          <w:szCs w:val="32"/>
          <w:lang w:eastAsia="zh-CN"/>
        </w:rPr>
      </w:pPr>
      <w:r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  <w:t>（一）北京市功能混合用地政策介绍与背景</w:t>
      </w:r>
    </w:p>
    <w:p w14:paraId="42C6FA5A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政策背景：为落实国家政策（如自然资源部城市中心指引）、响应北京市城市更新条例要求，出台功能混合用地政策，旨在提升土地利用效率、促进产业升级、完善配套设施，避免变相房地产开发。</w:t>
      </w:r>
    </w:p>
    <w:p w14:paraId="667F289B">
      <w:pPr>
        <w:spacing w:after="120" w:line="560" w:lineRule="exact"/>
        <w:ind w:firstLine="640" w:firstLineChars="200"/>
        <w:jc w:val="both"/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</w:pPr>
      <w:r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  <w:t>（二）政策阶段与核心内容</w:t>
      </w:r>
    </w:p>
    <w:p w14:paraId="3745C150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规划编制阶段：在街区层面（约10-30公顷）进行功能混合，主导功能占比不低于50%。</w:t>
      </w:r>
    </w:p>
    <w:p w14:paraId="0A15EF56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规划实施阶段：在地块层面，允许用地兼容其他功能。工业用地兼容生活性配套设施上限为15%，生产性配套总上限为30%。商业、公服等用地之间可相互兼容，上限为地上建筑规模的15%。居住功能不允许被其他功能兼容。</w:t>
      </w:r>
    </w:p>
    <w:p w14:paraId="068B5E7C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建筑使用转换阶段：针对既有建筑（存量），鼓励在符合正面清单前提下进行功能转换，原则上支持高地价用途向低地价用途转换，鼓励转向公共服务配套设施。</w:t>
      </w:r>
    </w:p>
    <w:p w14:paraId="2BB45CEB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政策适用范围：文件出台后新出让且出让合同未明确禁止的地块，可在工程规划许可前按规则申请兼容。文件出台前已出让地块，按原合同约定执行，一般不适用新兼容规则以保证市场公平。</w:t>
      </w:r>
    </w:p>
    <w:p w14:paraId="415D5ABE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地价与手续：兼容部分若涉及用途变化，需补缴土地出让金，通常在工程规划许可后签订补充协议。规划部门与土地利用部门需协同。</w:t>
      </w:r>
    </w:p>
    <w:p w14:paraId="356F0DC8">
      <w:pPr>
        <w:spacing w:after="120" w:line="560" w:lineRule="exact"/>
        <w:ind w:firstLine="640" w:firstLineChars="200"/>
        <w:jc w:val="both"/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</w:pPr>
      <w:r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  <w:t>（三）控规改革与实施机制</w:t>
      </w:r>
    </w:p>
    <w:p w14:paraId="00707492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街区控规：北京市控规改革后，市级层面主要管控街区主导功能、基准强度等刚性指标，总量控制（如总建筑规模）。</w:t>
      </w:r>
    </w:p>
    <w:p w14:paraId="7534C061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规划综合实施方案：具体项目实施前，由区级政府组织编制规划综合实施方案，确定地块具体指标，报区政府审批后作为规划依据，简化程序并缩短时间。方案需纳入“一张图”系统进行监测。</w:t>
      </w:r>
    </w:p>
    <w:p w14:paraId="03C5440D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动态维护与监管：通过“一张图”系统监测指标落实情况。若因项目实施累积导致主导功能需调整，则启动控规维护程序。北京市规自委分局实行垂直管理，统筹协调能力较强。</w:t>
      </w:r>
    </w:p>
    <w:p w14:paraId="41D05AA6">
      <w:pPr>
        <w:spacing w:after="120" w:line="560" w:lineRule="exact"/>
        <w:ind w:firstLine="640" w:firstLineChars="200"/>
        <w:jc w:val="both"/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</w:pPr>
      <w:r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  <w:t>（四）低效用地再开发试点情况</w:t>
      </w:r>
    </w:p>
    <w:p w14:paraId="7132676C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试点范围：北京市房山区和经开区为自然资源部低效用地再开发试点。</w:t>
      </w:r>
    </w:p>
    <w:p w14:paraId="35B68143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工作进展：完成规定动作（组织建立、调查入库等），各区探索制定低效用地认定标准，推进了十余个再开发项目，类型包括政府回购、司法处置、企业升级改造等。</w:t>
      </w:r>
    </w:p>
    <w:p w14:paraId="3589B7E4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配套政策：涉及延长租赁期、土地价款分期缴纳、土地价款优惠（如老旧厂房改造打九折）等激励措施。工业用地改造为研发等用途，有5年过渡期暂不补缴出让金。</w:t>
      </w:r>
    </w:p>
    <w:p w14:paraId="7F60636A">
      <w:pPr>
        <w:spacing w:after="120" w:line="560" w:lineRule="exact"/>
        <w:ind w:firstLine="640" w:firstLineChars="200"/>
        <w:jc w:val="both"/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</w:pPr>
      <w:r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  <w:t>（五）土地管理相关问题讨论</w:t>
      </w:r>
    </w:p>
    <w:p w14:paraId="2FD2E58D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土地核验：北京市正探索规划核验与土地核验融合。规划核验环节会核查土地手续是否完备，但开竣工监管、出让金追缴等具体工作仍由土地利用部门负责。开竣工违约追责较为谨慎。</w:t>
      </w:r>
    </w:p>
    <w:p w14:paraId="48BD186E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出让金追缴：对于历史欠缴出让金，北京市主要通过民事诉讼途径追缴，并已形成有效实践。非税收入划转税务部门后，新产生的欠缴由税务部门负责追缴。</w:t>
      </w:r>
    </w:p>
    <w:p w14:paraId="195F155F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划拨用地兼容经营功能：对于划拨的公益设施用地兼容少量经营性功能（如体育场馆内设商业），鼓励按兼容政策使用，若不办理产权登记可不补缴出让金；若需办理产权登记，则需协议出让并补缴出让金，但此类情况较少。</w:t>
      </w:r>
    </w:p>
    <w:p w14:paraId="6FC39614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合同履约监管：对于出让合同中约定的产业、税收等条款，存在“谁提出、谁监管”的实操难题，部门协同监管机制有待完善。</w:t>
      </w:r>
    </w:p>
    <w:p w14:paraId="3D6182CA">
      <w:pPr>
        <w:spacing w:after="120" w:line="560" w:lineRule="exact"/>
        <w:ind w:firstLine="640" w:firstLineChars="200"/>
        <w:jc w:val="both"/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</w:pPr>
      <w:r>
        <w:rPr>
          <w:rFonts w:hint="eastAsia" w:ascii="楷体_GB2312" w:hAnsi="宋体" w:eastAsia="楷体_GB2312"/>
          <w:bCs/>
          <w:color w:val="000000"/>
          <w:sz w:val="32"/>
          <w:szCs w:val="32"/>
          <w:lang w:eastAsia="zh-CN"/>
        </w:rPr>
        <w:t>（六）武汉市关注的问题与交流</w:t>
      </w:r>
    </w:p>
    <w:p w14:paraId="60E34D3B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关注功能混合各阶段正负面清单的差异与逻辑（逐步细化收紧）。</w:t>
      </w:r>
    </w:p>
    <w:p w14:paraId="0B16C613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询问公益性设施兼容经营性功能后的供地方式及分割转让限制（原则上整体供地、限制分割）。</w:t>
      </w:r>
    </w:p>
    <w:p w14:paraId="03B98120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探讨极端情况下，通过兼容可能导致街区主导功能变化的预警与处理机制（通过“一张图”监测，必要时启动控规维护）。</w:t>
      </w:r>
    </w:p>
    <w:p w14:paraId="7E9B6144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了解北京市规划审批决策机制（重大规划报市委城市工作委员会审议，一般规划报市政府审批）。</w:t>
      </w:r>
    </w:p>
    <w:p w14:paraId="29EF7A32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交流土地核验的具体内容与后续监管方向。</w:t>
      </w:r>
    </w:p>
    <w:p w14:paraId="342CD5F8">
      <w:pPr>
        <w:spacing w:after="120" w:line="560" w:lineRule="exact"/>
        <w:ind w:firstLine="640" w:firstLineChars="200"/>
        <w:jc w:val="both"/>
        <w:rPr>
          <w:rFonts w:hint="eastAsia" w:ascii="黑体" w:hAnsi="黑体" w:eastAsia="黑体"/>
          <w:bCs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/>
          <w:bCs/>
          <w:color w:val="000000"/>
          <w:sz w:val="32"/>
          <w:szCs w:val="32"/>
          <w:lang w:eastAsia="zh-CN"/>
        </w:rPr>
        <w:t>二、行动清单（待办事项）</w:t>
      </w:r>
    </w:p>
    <w:p w14:paraId="37196C47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政策学习与对接：武汉市局可进一步研究北京市功能混合用地政策、控规改革及“一张图”监测机制，思考本地借鉴的可行性。</w:t>
      </w:r>
    </w:p>
    <w:p w14:paraId="655BA9D2">
      <w:pPr>
        <w:spacing w:after="0" w:line="560" w:lineRule="exact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经验交流深化：双方可建立常态化交流机制，就土地核验融合、合同履约跨部门监管等共同难题继续探讨。</w:t>
      </w:r>
    </w:p>
    <w:p w14:paraId="088EC8D1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试点经验总结：北京市继续推进低效用地再开发试点工作，总结可复制推广的经验。</w:t>
      </w:r>
    </w:p>
    <w:p w14:paraId="5A9E50FB">
      <w:pPr>
        <w:spacing w:after="120" w:line="560" w:lineRule="exact"/>
        <w:ind w:firstLine="640" w:firstLineChars="200"/>
        <w:jc w:val="both"/>
        <w:rPr>
          <w:rFonts w:hint="eastAsia" w:ascii="黑体" w:hAnsi="黑体" w:eastAsia="黑体"/>
          <w:bCs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/>
          <w:bCs/>
          <w:color w:val="000000"/>
          <w:sz w:val="32"/>
          <w:szCs w:val="32"/>
          <w:lang w:eastAsia="zh-CN"/>
        </w:rPr>
        <w:t>三、其他说明</w:t>
      </w:r>
    </w:p>
    <w:p w14:paraId="0695871A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会议为两地规划自然资源部门之间的业务交流研讨会，气氛坦诚，讨论深入。</w:t>
      </w:r>
    </w:p>
    <w:p w14:paraId="316CA2B9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北京市因其首都功能定位，在机构设置（如规自委垂直管理、市委城工委统筹）和工作侧重上具有一定特殊性。</w:t>
      </w:r>
    </w:p>
    <w:p w14:paraId="2FAB687A">
      <w:pPr>
        <w:spacing w:after="0" w:line="560" w:lineRule="exact"/>
        <w:ind w:firstLine="640" w:firstLineChars="200"/>
        <w:jc w:val="both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双方均认识到地方实践相互借鉴的重要性。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0D48"/>
    <w:rsid w:val="00AA1D8D"/>
    <w:rsid w:val="00B47730"/>
    <w:rsid w:val="00CA57D6"/>
    <w:rsid w:val="00CB0664"/>
    <w:rsid w:val="00D65029"/>
    <w:rsid w:val="00FB28BF"/>
    <w:rsid w:val="00FC693F"/>
    <w:rsid w:val="0B07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table" w:customStyle="1" w:styleId="164">
    <w:name w:val="Plain Table 2"/>
    <w:basedOn w:val="3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1815</Words>
  <Characters>1847</Characters>
  <Lines>13</Lines>
  <Paragraphs>3</Paragraphs>
  <TotalTime>2</TotalTime>
  <ScaleCrop>false</ScaleCrop>
  <LinksUpToDate>false</LinksUpToDate>
  <CharactersWithSpaces>1868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2025-12-18T07:24:00Z</dcterms:created>
  <dc:creator>python-docx</dc:creator>
  <dc:description>generated by python-docx</dc:description>
  <cp:lastModifiedBy>李志鹏</cp:lastModifiedBy>
  <dcterms:modified xsi:type="dcterms:W3CDTF">2025-12-18T07:28:37Z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eyJoZGlkIjoiOGQ4YmZhYTE4MDkxMzM5Y2FjNzAzYjMzOGEzZDVmMmEiLCJ1c2VySWQiOiI0NzE5ODI1ODIifQ==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5EBAE17CD04D4C80B09672321842A4D0_13</vt:lpwstr>
  </property>
</Properties>
</file>