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uploaded_image_1765686810465.png"/>
                    <pic:cNvPicPr/>
                  </pic:nvPicPr>
                  <pic:blipFill>
                    <a:blip r:embed="rId9"/>
                    <a:stretch>
                      <a:fillRect/>
                    </a:stretch>
                  </pic:blipFill>
                  <pic:spPr>
                    <a:xfrm>
                      <a:off x="0" y="0"/>
                      <a:ext cx="2286000" cy="2286000"/>
                    </a:xfrm>
                    <a:prstGeom prst="rect"/>
                  </pic:spPr>
                </pic:pic>
              </a:graphicData>
            </a:graphic>
          </wp:inline>
        </w:drawing>
      </w:r>
    </w:p>
    <w:p/>
    <w:p>
      <w:pPr>
        <w:jc w:val="center"/>
      </w:pPr>
      <w:r>
        <w:rPr>
          <w:b/>
          <w:color w:val="003366"/>
          <w:sz w:val="36"/>
        </w:rPr>
        <w:t>NORTH SOUTH UNIVERSITY</w:t>
      </w:r>
    </w:p>
    <w:p/>
    <w:p/>
    <w:p>
      <w:pPr>
        <w:jc w:val="center"/>
      </w:pPr>
      <w:r>
        <w:rPr>
          <w:b/>
          <w:sz w:val="48"/>
        </w:rPr>
        <w:t>Compositional Skill Learning in</w:t>
        <w:br/>
        <w:t>Multimodal Reinforcement Learning</w:t>
      </w:r>
    </w:p>
    <w:p/>
    <w:p>
      <w:pPr>
        <w:jc w:val="center"/>
      </w:pPr>
      <w:r>
        <w:rPr>
          <w:i/>
          <w:sz w:val="26"/>
        </w:rPr>
        <w:t>Extension of Functional Composition Theory to Vision-Language Systems</w:t>
      </w:r>
    </w:p>
    <w:p/>
    <w:p>
      <w:pPr>
        <w:jc w:val="center"/>
      </w:pPr>
      <w:r>
        <w:rPr>
          <w:i/>
          <w:sz w:val="20"/>
        </w:rPr>
        <w:t>Based on: "From f(x) and g(x) to f(g(x)): LLMs Learn New Skills in RL</w:t>
        <w:br/>
        <w:t>by Composing Old Ones" (arXiv:2509.25123)</w:t>
      </w:r>
    </w:p>
    <w:p/>
    <w:p>
      <w:pPr>
        <w:jc w:val="center"/>
      </w:pPr>
      <w:r>
        <w:t>──────────────────────────────────────────────────</w:t>
      </w:r>
    </w:p>
    <w:p/>
    <w:p>
      <w:pPr>
        <w:jc w:val="center"/>
      </w:pPr>
      <w:r>
        <w:rPr>
          <w:b/>
          <w:sz w:val="32"/>
        </w:rPr>
        <w:t>DEMONSTRATION REPORT</w:t>
      </w:r>
    </w:p>
    <w:p/>
    <w:p>
      <w:pPr>
        <w:jc w:val="center"/>
      </w:pPr>
      <w:r>
        <w:rPr>
          <w:b/>
          <w:sz w:val="24"/>
        </w:rPr>
        <w:t>Submitted by:</w:t>
      </w:r>
    </w:p>
    <w:p/>
    <w:p>
      <w:pPr>
        <w:jc w:val="center"/>
      </w:pPr>
      <w:r>
        <w:rPr>
          <w:b/>
          <w:sz w:val="28"/>
        </w:rPr>
        <w:t>Rakib Hossain Nabil</w:t>
      </w:r>
    </w:p>
    <w:p>
      <w:pPr>
        <w:jc w:val="center"/>
      </w:pPr>
      <w:r>
        <w:rPr>
          <w:sz w:val="24"/>
        </w:rPr>
        <w:t>Student ID: 2131005642</w:t>
      </w:r>
    </w:p>
    <w:p>
      <w:pPr>
        <w:jc w:val="center"/>
      </w:pPr>
      <w:r>
        <w:rPr>
          <w:sz w:val="24"/>
        </w:rPr>
        <w:t>Section: 2</w:t>
      </w:r>
    </w:p>
    <w:p/>
    <w:p/>
    <w:p>
      <w:pPr>
        <w:jc w:val="center"/>
      </w:pPr>
      <w:r>
        <w:rPr>
          <w:sz w:val="24"/>
        </w:rPr>
        <w:t>December 2024</w:t>
      </w:r>
    </w:p>
    <w:p>
      <w:r>
        <w:br w:type="page"/>
      </w:r>
    </w:p>
    <w:p>
      <w:pPr>
        <w:pStyle w:val="Heading1"/>
        <w:spacing w:before="360" w:after="240"/>
      </w:pPr>
      <w:r>
        <w:t>1. Abstract</w:t>
      </w:r>
    </w:p>
    <w:p>
      <w:pPr>
        <w:spacing w:after="120" w:line="276" w:lineRule="auto"/>
      </w:pPr>
      <w:r>
        <w:rPr>
          <w:b w:val="0"/>
          <w:i w:val="0"/>
          <w:sz w:val="22"/>
        </w:rPr>
        <w:t>This research investigates whether reinforcement learning (RL) can enable multimodal models to compose pretrained vision and language skills into new capabilities without intermediate supervision. Building upon the seminal work "From f(x) and g(x) to f(g(x))" which demonstrated that RL enables large language models to compose text-based skills, we extend this finding to the more challenging setting of cross-modal composition.</w:t>
        <w:br/>
        <w:br/>
        <w:t>We design a controlled experimental framework using Visual Question Answering (VQA) as the compositional task, where a frozen CLIP vision encoder must be composed with a trainable language model to answer questions about images. Through 61 systematic experiments varying training methods (frozen, supervised, RL), learning rates, reward functions, and question types, we characterize the conditions under which RL enables multimodal skill composition.</w:t>
        <w:br/>
        <w:br/>
        <w:t>Key findings include: (1) RL achieves 53.7% accuracy with optimal hyperparameters, significantly outperforming frozen baselines (13.2%), (2) learning rate sensitivity is critical with optimal performance at 2e-4, (3) different question types exhibit varying difficulty levels with spatial reasoning being most challenging, and (4) question-type specialization through dedicated classification heads can achieve up to 68.7% accuracy. These results provide empirical evidence that RL-based compositional learning extends beyond unimodal settings to cross-modal domains.</w:t>
      </w:r>
    </w:p>
    <w:p>
      <w:pPr>
        <w:pStyle w:val="Heading1"/>
        <w:spacing w:before="360" w:after="240"/>
      </w:pPr>
      <w:r>
        <w:t>2. Introduction</w:t>
      </w:r>
    </w:p>
    <w:p>
      <w:pPr>
        <w:spacing w:after="120" w:line="276" w:lineRule="auto"/>
      </w:pPr>
      <w:r>
        <w:rPr>
          <w:b w:val="0"/>
          <w:i w:val="0"/>
          <w:sz w:val="22"/>
        </w:rPr>
        <w:t>The ability to compose existing skills into new capabilities is a hallmark of human intelligence and a longstanding goal of artificial intelligence research [1, 3]. Recent advances in foundation models have produced powerful pretrained representations for both vision (CLIP) and language (GPT, T5), but the question of how these modular skills can be composed into novel capabilities remains open.</w:t>
      </w:r>
    </w:p>
    <w:p>
      <w:pPr>
        <w:spacing w:after="120" w:line="276" w:lineRule="auto"/>
      </w:pPr>
      <w:r>
        <w:rPr>
          <w:b w:val="0"/>
          <w:i w:val="0"/>
          <w:sz w:val="22"/>
        </w:rPr>
        <w:t>The foundational paper "From f(x) and g(x) to f(g(x))" [4] makes a remarkable discovery: reinforcement learning provides a training signal that enables Large Language Models to compose text-based skills that were trained separately. When presented with a reward for the composed behavior f(g(x)), models learn to chain pretrained skills f and g without requiring intermediate supervision on g(x).</w:t>
      </w:r>
    </w:p>
    <w:p>
      <w:pPr>
        <w:spacing w:after="120" w:line="276" w:lineRule="auto"/>
      </w:pPr>
      <w:r>
        <w:rPr>
          <w:b w:val="0"/>
          <w:i w:val="0"/>
          <w:sz w:val="22"/>
        </w:rPr>
        <w:t>This work extends the compositional learning hypothesis to the more challenging domain of multimodal learning. We ask: Can RL compose vision and language skills that were never trained together? This is a harder problem than unimodal composition because:</w:t>
        <w:br/>
        <w:br/>
        <w:t>1. Cross-modal bridging: Vision and language represent different modalities with distinct embedding spaces</w:t>
        <w:br/>
        <w:t>2. Representation alignment: No shared training objective connects pretrained vision and language models</w:t>
        <w:br/>
        <w:t>3. Complex reasoning: VQA requires not just recognition but relational reasoning across modalities</w:t>
      </w:r>
    </w:p>
    <w:p>
      <w:pPr>
        <w:spacing w:after="120" w:line="276" w:lineRule="auto"/>
      </w:pPr>
      <w:r>
        <w:rPr>
          <w:b w:val="0"/>
          <w:i w:val="0"/>
          <w:sz w:val="22"/>
        </w:rPr>
        <w:t>Our contributions include:</w:t>
        <w:br/>
        <w:t>• First systematic investigation of RL-based composition in multimodal settings</w:t>
        <w:br/>
        <w:t>• Controlled experiments across 61 configurations varying training method, hyperparameters, and task conditions</w:t>
        <w:br/>
        <w:t>• Characterization of when and why RL enables cross-modal composition</w:t>
        <w:br/>
        <w:t>• Identification of optimal hyperparameters and architectural choices for multimodal skill composition</w:t>
        <w:br/>
        <w:t>• Evidence that compositional learning extends beyond text to vision-language systems</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research_framework_1765686264918.png"/>
                    <pic:cNvPicPr/>
                  </pic:nvPicPr>
                  <pic:blipFill>
                    <a:blip r:embed="rId10"/>
                    <a:stretch>
                      <a:fillRect/>
                    </a:stretch>
                  </pic:blipFill>
                  <pic:spPr>
                    <a:xfrm>
                      <a:off x="0" y="0"/>
                      <a:ext cx="5486400" cy="5486400"/>
                    </a:xfrm>
                    <a:prstGeom prst="rect"/>
                  </pic:spPr>
                </pic:pic>
              </a:graphicData>
            </a:graphic>
          </wp:inline>
        </w:drawing>
      </w:r>
    </w:p>
    <w:p>
      <w:pPr>
        <w:spacing w:after="360"/>
        <w:jc w:val="center"/>
      </w:pPr>
      <w:r>
        <w:rPr>
          <w:i/>
          <w:sz w:val="20"/>
        </w:rPr>
        <w:t>Figure A: Research Framework — Compositional skill learning via reinforcement learning, extending text-only approach to multimodal vision-language setting</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unimodal_to_multimodal_1765686287445.png"/>
                    <pic:cNvPicPr/>
                  </pic:nvPicPr>
                  <pic:blipFill>
                    <a:blip r:embed="rId11"/>
                    <a:stretch>
                      <a:fillRect/>
                    </a:stretch>
                  </pic:blipFill>
                  <pic:spPr>
                    <a:xfrm>
                      <a:off x="0" y="0"/>
                      <a:ext cx="5486400" cy="5486400"/>
                    </a:xfrm>
                    <a:prstGeom prst="rect"/>
                  </pic:spPr>
                </pic:pic>
              </a:graphicData>
            </a:graphic>
          </wp:inline>
        </w:drawing>
      </w:r>
    </w:p>
    <w:p>
      <w:pPr>
        <w:spacing w:after="360"/>
        <w:jc w:val="center"/>
      </w:pPr>
      <w:r>
        <w:rPr>
          <w:i/>
          <w:sz w:val="20"/>
        </w:rPr>
        <w:t>Figure B: Extension from Unimodal to Multimodal — Our work extends the compositional learning framework from text-only to cross-modal settings</w:t>
      </w:r>
    </w:p>
    <w:p>
      <w:r>
        <w:br w:type="page"/>
      </w:r>
    </w:p>
    <w:p>
      <w:pPr>
        <w:pStyle w:val="Heading1"/>
        <w:spacing w:before="360" w:after="240"/>
      </w:pPr>
      <w:r>
        <w:t>3. Literature Review</w:t>
      </w:r>
    </w:p>
    <w:p>
      <w:pPr>
        <w:spacing w:after="120" w:line="276" w:lineRule="auto"/>
      </w:pPr>
      <w:r>
        <w:rPr>
          <w:b w:val="0"/>
          <w:i w:val="0"/>
          <w:sz w:val="22"/>
        </w:rPr>
        <w:t>This section reviews the foundational literature spanning compositional generalization in AI, reinforcement learning for skill composition, vision-language models, and Visual Question Answering benchmarks. The literature establishes both theoretical motivation and methodological foundations for our research.</w:t>
      </w:r>
    </w:p>
    <w:p>
      <w:pPr>
        <w:pStyle w:val="Heading2"/>
        <w:spacing w:before="360" w:after="240"/>
      </w:pPr>
      <w:r>
        <w:t>3.1 Compositional Generalization and Systematicity</w:t>
      </w:r>
    </w:p>
    <w:p>
      <w:pPr>
        <w:spacing w:after="120" w:line="276" w:lineRule="auto"/>
      </w:pPr>
      <w:r>
        <w:rPr>
          <w:b w:val="0"/>
          <w:i w:val="0"/>
          <w:sz w:val="22"/>
        </w:rPr>
        <w:t>The theoretical foundation for compositional learning traces to Fodor and Pylyshyn's influential 1988 analysis of connectionism [3]. They argued that cognitive systems exhibit systematicity—the ability to understand and produce novel combinations of familiar components. For example, anyone who understands "John loves Mary" can also understand "Mary loves John" without additional training. This systematic compositionality is a core property of human cognition that neural networks have historically struggled to replicate.</w:t>
      </w:r>
    </w:p>
    <w:p>
      <w:pPr>
        <w:spacing w:after="120" w:line="276" w:lineRule="auto"/>
      </w:pPr>
      <w:r>
        <w:rPr>
          <w:b w:val="0"/>
          <w:i w:val="0"/>
          <w:sz w:val="22"/>
        </w:rPr>
        <w:t>Lake et al. [1] extended this argument to modern deep learning, identifying compositional generalization as a key gap between human and machine intelligence. They proposed that human-like AI requires the ability to "build new representations from primitive parts." Their analysis established compositional generalization as a central challenge for AI systems and motivated the development of benchmarks specifically designed to test this capability.</w:t>
      </w:r>
    </w:p>
    <w:p>
      <w:pPr>
        <w:spacing w:after="120" w:line="276" w:lineRule="auto"/>
      </w:pPr>
      <w:r>
        <w:rPr>
          <w:b w:val="0"/>
          <w:i w:val="0"/>
          <w:sz w:val="22"/>
        </w:rPr>
        <w:t>Keysers et al. [2] developed rigorous methodology for measuring compositional generalization through the SCAN benchmark. Their key insight was that standard train/test splits do not adequately test composition—models can achieve high accuracy through memorization rather than systematic generalization. They introduced compositional splits that require models to generalize to novel combinations of familiar primitives, revealing that standard architectures fail dramatically when compositions differ from training examples.</w:t>
      </w:r>
    </w:p>
    <w:p>
      <w:pPr>
        <w:pStyle w:val="Heading2"/>
        <w:spacing w:before="360" w:after="240"/>
      </w:pPr>
      <w:r>
        <w:t>3.2 Reinforcement Learning for Skill Composition</w:t>
      </w:r>
    </w:p>
    <w:p>
      <w:pPr>
        <w:spacing w:after="120" w:line="276" w:lineRule="auto"/>
      </w:pPr>
      <w:r>
        <w:rPr>
          <w:b w:val="0"/>
          <w:i w:val="0"/>
          <w:sz w:val="22"/>
        </w:rPr>
        <w:t>The direct foundation for our work is the "From f(x) and g(x) to f(g(x))" paper [4], which demonstrated that reinforcement learning can induce skill composition in large language models. The key finding is that when a reward signal is provided for the composed output f(g(x)), RL training enables models to chain pretrained skills f and g without requiring intermediate supervision on g(x). This is remarkable because supervised learning on the same task fails to produce composition—it learns a direct mapping that does not leverage pretrained skills.</w:t>
        <w:br/>
        <w:br/>
        <w:t>The paper provides both theoretical analysis (showing why policy gradient methods can discover compositional solutions) and empirical evidence across multiple task compositions. Our work directly extends this finding from text-only to multimodal settings, testing whether the composition mechanism generalizes across modalities.</w:t>
      </w:r>
    </w:p>
    <w:p>
      <w:pPr>
        <w:spacing w:after="120" w:line="276" w:lineRule="auto"/>
      </w:pPr>
      <w:r>
        <w:rPr>
          <w:b w:val="0"/>
          <w:i w:val="0"/>
          <w:sz w:val="22"/>
        </w:rPr>
        <w:t>The theoretical basis for understanding why RL enables composition comes from Sutton and Barto's foundational textbook [5]. Policy gradient methods like REINFORCE [6] optimize for task reward without requiring intermediate labels. This property is crucial for composition—the reward signal for the composed behavior f(g(x)) is sufficient to shape the policy, without needing supervision on the intermediate representation g(x). The credit assignment in RL allows gradients to flow through the entire composed computation graph.</w:t>
      </w:r>
    </w:p>
    <w:p>
      <w:pPr>
        <w:spacing w:after="120" w:line="276" w:lineRule="auto"/>
      </w:pPr>
      <w:r>
        <w:rPr>
          <w:b w:val="0"/>
          <w:i w:val="0"/>
          <w:sz w:val="22"/>
        </w:rPr>
        <w:t>Williams' REINFORCE algorithm [6] provides the specific training methodology used in both the reference paper and our work. REINFORCE computes policy gradients using the score function estimator:</w:t>
        <w:br/>
        <w:br/>
        <w:t>∇J(θ) = E[R · ∇log π(a|s; θ)]</w:t>
        <w:br/>
        <w:br/>
        <w:t>where R is the reward and π is the policy. This allows training without differentiating through the reward function, which is essential when rewards are discrete (correct/incorrect) as in VQA.</w:t>
      </w:r>
    </w:p>
    <w:p>
      <w:pPr>
        <w:pStyle w:val="Heading2"/>
        <w:spacing w:before="360" w:after="240"/>
      </w:pPr>
      <w:r>
        <w:t>3.3 Vision-Language Foundation Models</w:t>
      </w:r>
    </w:p>
    <w:p>
      <w:pPr>
        <w:spacing w:after="120" w:line="276" w:lineRule="auto"/>
      </w:pPr>
      <w:r>
        <w:rPr>
          <w:b w:val="0"/>
          <w:i w:val="0"/>
          <w:sz w:val="22"/>
        </w:rPr>
        <w:t>Our vision component uses CLIP (Contrastive Language-Image Pre-training) [7], which learns aligned visual and textual representations through contrastive learning on 400 million image-text pairs. CLIP's visual encoder produces embeddings that capture semantic concepts useful for downstream tasks. Critically, CLIP was not trained on VQA—using it for question answering requires composing its visual representations with question understanding and answer generation capabilities it does not possess.</w:t>
      </w:r>
    </w:p>
    <w:p>
      <w:pPr>
        <w:spacing w:after="120" w:line="276" w:lineRule="auto"/>
      </w:pPr>
      <w:r>
        <w:rPr>
          <w:b w:val="0"/>
          <w:i w:val="0"/>
          <w:sz w:val="22"/>
        </w:rPr>
        <w:t>Alayrac et al.'s Flamingo model [8] demonstrates that frozen vision encoders can be effectively composed with language models for multimodal tasks. Flamingo introduces cross-attention layers that allow a large language model to attend to visual features from a frozen vision encoder. This architecture validates our approach of using frozen CLIP with trainable composition layers—Flamingo shows that the composition itself can be learned while preserving pretrained representations.</w:t>
      </w:r>
    </w:p>
    <w:p>
      <w:pPr>
        <w:spacing w:after="120" w:line="276" w:lineRule="auto"/>
      </w:pPr>
      <w:r>
        <w:rPr>
          <w:b w:val="0"/>
          <w:i w:val="0"/>
          <w:sz w:val="22"/>
        </w:rPr>
        <w:t>Li et al.'s BLIP-2 [9] further develops the frozen encoder paradigm through the Q-Former architecture. BLIP-2 achieves strong multimodal performance while training only a lightweight bridge between frozen image encoders and frozen language models. The key insight is that a relatively small trainable component can learn the cross-modal mapping needed for composition. Our projection layer design is inspired by this finding.</w:t>
      </w:r>
    </w:p>
    <w:p>
      <w:pPr>
        <w:pStyle w:val="Heading2"/>
        <w:spacing w:before="360" w:after="240"/>
      </w:pPr>
      <w:r>
        <w:t>3.4 Visual Question Answering Benchmarks</w:t>
      </w:r>
    </w:p>
    <w:p>
      <w:pPr>
        <w:spacing w:after="120" w:line="276" w:lineRule="auto"/>
      </w:pPr>
      <w:r>
        <w:rPr>
          <w:b w:val="0"/>
          <w:i w:val="0"/>
          <w:sz w:val="22"/>
        </w:rPr>
        <w:t>Visual Question Answering provides an ideal testbed for multimodal composition. The original VQA benchmark [10] introduced the task of free-form visual questions, requiring models to understand both image content and question semantics. Goyal et al.'s VQA v2.0 [11] addressed language bias by introducing balanced pairs—questions with the same text but different images requiring different answers—ensuring that visual grounding is necessary for correct predictions.</w:t>
      </w:r>
    </w:p>
    <w:p>
      <w:pPr>
        <w:spacing w:after="120" w:line="276" w:lineRule="auto"/>
      </w:pPr>
      <w:r>
        <w:rPr>
          <w:b w:val="0"/>
          <w:i w:val="0"/>
          <w:sz w:val="22"/>
        </w:rPr>
        <w:t>Hudson and Manning's GQA dataset [12] explicitly emphasizes compositional reasoning, requiring multi-step inference about object attributes, relationships, and spatial configurations. Their analysis shows that even state-of-the-art models struggle with compositional questions that require chaining multiple visual reasoning steps. This validates VQA as a compositional task appropriate for testing our hypothesis about RL-enabled composition.</w:t>
      </w:r>
    </w:p>
    <w:p>
      <w:pPr>
        <w:pStyle w:val="Heading2"/>
        <w:spacing w:before="360" w:after="240"/>
      </w:pPr>
      <w:r>
        <w:t>3.5 Positioning of Our Work</w:t>
      </w:r>
    </w:p>
    <w:p>
      <w:pPr>
        <w:spacing w:after="120" w:line="276" w:lineRule="auto"/>
      </w:pPr>
      <w:r>
        <w:rPr>
          <w:b w:val="0"/>
          <w:i w:val="0"/>
          <w:sz w:val="22"/>
        </w:rPr>
        <w:t>Our research sits at the intersection of three literature streams: compositional generalization theory, RL for skill composition, and vision-language learning. While the reference paper [4] establishes that RL enables composition in unimodal settings, and vision-language work [7-9] shows that modalities can be bridged, no prior work has specifically investigated whether RL-based compositional learning transfers to cross-modal settings.</w:t>
        <w:br/>
        <w:br/>
        <w:t>The gap we address is: Does the compositional learning mechanism discovered for text extend to vision-language? Our systematic experiments provide the first empirical evidence on this question.</w:t>
      </w:r>
    </w:p>
    <w:p>
      <w:r>
        <w:br w:type="page"/>
      </w:r>
    </w:p>
    <w:p>
      <w:pPr>
        <w:pStyle w:val="Heading1"/>
        <w:spacing w:before="360" w:after="240"/>
      </w:pPr>
      <w:r>
        <w:t>4. Methodology</w:t>
      </w:r>
    </w:p>
    <w:p>
      <w:pPr>
        <w:spacing w:after="120" w:line="276" w:lineRule="auto"/>
      </w:pPr>
      <w:r>
        <w:rPr>
          <w:b w:val="0"/>
          <w:i w:val="0"/>
          <w:sz w:val="22"/>
        </w:rPr>
        <w:t>We design a controlled experimental framework to test whether reinforcement learning enables composition of pretrained vision and language skills. Our setup closely parallels the reference paper [4] while adapting for the multimodal setting.</w:t>
      </w:r>
    </w:p>
    <w:p>
      <w:pPr>
        <w:pStyle w:val="Heading2"/>
        <w:spacing w:before="360" w:after="240"/>
      </w:pPr>
      <w:r>
        <w:t>4.1 Model Architecture</w:t>
      </w:r>
    </w:p>
    <w:p>
      <w:pPr>
        <w:spacing w:after="120" w:line="276" w:lineRule="auto"/>
      </w:pPr>
      <w:r>
        <w:rPr>
          <w:b w:val="0"/>
          <w:i w:val="0"/>
          <w:sz w:val="22"/>
        </w:rPr>
        <w:t>Our architecture composes a frozen vision encoder with trainable composition layers:</w:t>
        <w:br/>
        <w:br/>
        <w:t>• Vision Encoder: CLIP ViT-B/32 (frozen, 151M parameters)</w:t>
        <w:br/>
        <w:t xml:space="preserve">  - Processes input images to 512-dimensional embeddings</w:t>
        <w:br/>
        <w:t xml:space="preserve">  - Pretrained on image-text contrastive objective</w:t>
        <w:br/>
        <w:t xml:space="preserve">  - Not trained on VQA—composition is required for the task</w:t>
        <w:br/>
        <w:br/>
        <w:t>• Projection Layer: Trainable linear projection (512 → 768, ~400K parameters)</w:t>
        <w:br/>
        <w:t xml:space="preserve">  - Bridges vision and language representation spaces</w:t>
        <w:br/>
        <w:t xml:space="preserve">  - Sole trainable component in frozen experiments</w:t>
        <w:br/>
        <w:br/>
        <w:t>• Question Encoder: Learned embeddings (100K parameters)</w:t>
        <w:br/>
        <w:t xml:space="preserve">  - Encodes question type (color/shape/count/spatial)</w:t>
        <w:br/>
        <w:t xml:space="preserve">  - Encodes target entities mentioned in question</w:t>
        <w:br/>
        <w:br/>
        <w:t>• Answer Classifier: MLP with classification heads (~500K parameters)</w:t>
        <w:br/>
        <w:t xml:space="preserve">  - Predicts from 24 possible answer classes</w:t>
        <w:br/>
        <w:t xml:space="preserve">  - Optional: question-type specific heads for specialization</w:t>
        <w:br/>
        <w:br/>
        <w:t>Total trainable parameters: ~1M (0.6% of full model)</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architecture_diagram_1765683057170.png"/>
                    <pic:cNvPicPr/>
                  </pic:nvPicPr>
                  <pic:blipFill>
                    <a:blip r:embed="rId12"/>
                    <a:stretch>
                      <a:fillRect/>
                    </a:stretch>
                  </pic:blipFill>
                  <pic:spPr>
                    <a:xfrm>
                      <a:off x="0" y="0"/>
                      <a:ext cx="5486400" cy="5486400"/>
                    </a:xfrm>
                    <a:prstGeom prst="rect"/>
                  </pic:spPr>
                </pic:pic>
              </a:graphicData>
            </a:graphic>
          </wp:inline>
        </w:drawing>
      </w:r>
    </w:p>
    <w:p>
      <w:pPr>
        <w:spacing w:after="360"/>
        <w:jc w:val="center"/>
      </w:pPr>
      <w:r>
        <w:rPr>
          <w:i/>
          <w:sz w:val="20"/>
        </w:rPr>
        <w:t>Figure 1: System Architecture — CLIP vision encoder (frozen) composed with trainable projection and classification layers for VQA</w:t>
      </w:r>
    </w:p>
    <w:p>
      <w:pPr>
        <w:pStyle w:val="Heading2"/>
        <w:spacing w:before="360" w:after="240"/>
      </w:pPr>
      <w:r>
        <w:t>4.2 Training Methods</w:t>
      </w:r>
    </w:p>
    <w:p>
      <w:pPr>
        <w:spacing w:after="120" w:line="276" w:lineRule="auto"/>
      </w:pPr>
      <w:r>
        <w:rPr>
          <w:b w:val="0"/>
          <w:i w:val="0"/>
          <w:sz w:val="22"/>
        </w:rPr>
        <w:t>We compare three training approaches, directly paralleling the reference paper:</w:t>
        <w:br/>
        <w:br/>
        <w:t>1. Frozen Baseline: No training; evaluate pretrained representations</w:t>
        <w:br/>
        <w:t xml:space="preserve">   - Tests whether pretrained CLIP already composes with question answering</w:t>
        <w:br/>
        <w:t xml:space="preserve">   - Expected to fail since CLIP was not trained on VQA</w:t>
        <w:br/>
        <w:br/>
        <w:t>2. Supervised Learning: Cross-entropy loss on answer labels</w:t>
        <w:br/>
        <w:t xml:space="preserve">   - Standard supervised training approach</w:t>
        <w:br/>
        <w:t xml:space="preserve">   - Direct supervision on input-output pairs (image, question, answer)</w:t>
        <w:br/>
        <w:br/>
        <w:t>3. Reinforcement Learning (REINFORCE): Policy gradient with binary reward</w:t>
        <w:br/>
        <w:t xml:space="preserve">   - Reward R = 1 for correct answer, R = 0 otherwise</w:t>
        <w:br/>
        <w:t xml:space="preserve">   - Policy gradient: ∇J = E[R · ∇log π(answer|image, question)]</w:t>
        <w:br/>
        <w:t xml:space="preserve">   - Tests whether reward signal alone enables composition</w:t>
      </w:r>
    </w:p>
    <w:p>
      <w:pPr>
        <w:pStyle w:val="Heading2"/>
        <w:spacing w:before="360" w:after="240"/>
      </w:pPr>
      <w:r>
        <w:t>4.3 Dataset</w:t>
      </w:r>
    </w:p>
    <w:p>
      <w:pPr>
        <w:spacing w:after="120" w:line="276" w:lineRule="auto"/>
      </w:pPr>
      <w:r>
        <w:rPr>
          <w:b w:val="0"/>
          <w:i w:val="0"/>
          <w:sz w:val="22"/>
        </w:rPr>
        <w:t>We use a controlled VQA subset designed to test specific compositional abilities:</w:t>
        <w:br/>
        <w:br/>
        <w:t>• Training set: 5,000 image-question-answer triplets</w:t>
        <w:br/>
        <w:t>• Validation set: 1,000 triplets</w:t>
        <w:br/>
        <w:t>• Test set: 1,000 triplets</w:t>
        <w:br/>
        <w:br/>
        <w:t>Question Types:</w:t>
        <w:br/>
        <w:t>- Color: "What color is the X?" (4 possible answers)</w:t>
        <w:br/>
        <w:t>- Shape: "What shape is the Y?" (3 possible answers)</w:t>
        <w:br/>
        <w:t>- Count: "How many X are there?" (4 possible answers: 0-3)</w:t>
        <w:br/>
        <w:t>- Spatial: "What is in front of the X?" (13 possible answers: color+shape combinations + "nothing")</w:t>
        <w:br/>
        <w:br/>
        <w:t>Answer Vocabulary: 24 classes covering colors, shapes, counts, and compound answers</w:t>
        <w:br/>
        <w:br/>
        <w:t>The controlled setting allows systematic study of composition without confounds from dataset scale or complexity.</w:t>
      </w:r>
    </w:p>
    <w:p>
      <w:pPr>
        <w:pStyle w:val="Heading2"/>
        <w:spacing w:before="360" w:after="240"/>
      </w:pPr>
      <w:r>
        <w:t>4.4 Experimental Design</w:t>
      </w:r>
    </w:p>
    <w:p>
      <w:pPr>
        <w:spacing w:after="120" w:line="276" w:lineRule="auto"/>
      </w:pPr>
      <w:r>
        <w:rPr>
          <w:b w:val="0"/>
          <w:i w:val="0"/>
          <w:sz w:val="22"/>
        </w:rPr>
        <w:t>We conduct 61 systematic experiments varying one factor at a time:</w:t>
        <w:br/>
        <w:br/>
        <w:t>| Range | Variable | Values | Purpose |</w:t>
        <w:br/>
        <w:t>|-------|----------|--------|---------|</w:t>
        <w:br/>
        <w:t>| 001-003 | Training method | frozen/supervised/RL | Core hypothesis |</w:t>
        <w:br/>
        <w:t>| 004-013 | Learning rate | 1e-5 to 1e-2 | Hyperparameter sensitivity |</w:t>
        <w:br/>
        <w:t>| 014-023 | Reward function | exact/partial/progressive | Reward shaping |</w:t>
        <w:br/>
        <w:t>| 024-033 | Question type | color/shape/count/spatial | Task difficulty |</w:t>
        <w:br/>
        <w:t>| 034-043 | RL parameters | temperature, entropy | Method variants |</w:t>
        <w:br/>
        <w:t>| 044-061 | Architecture | batch size, heads | Design choices |</w:t>
        <w:br/>
        <w:br/>
        <w:t>All experiments use:</w:t>
        <w:br/>
        <w:t>- 50 training epochs</w:t>
        <w:br/>
        <w:t>- Adam optimizer</w:t>
        <w:br/>
        <w:t>- Same random seed for reproducibility</w:t>
        <w:br/>
        <w:t>- Validation-based early stopping</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skill_composition_diagram_1765683002201.png"/>
                    <pic:cNvPicPr/>
                  </pic:nvPicPr>
                  <pic:blipFill>
                    <a:blip r:embed="rId13"/>
                    <a:stretch>
                      <a:fillRect/>
                    </a:stretch>
                  </pic:blipFill>
                  <pic:spPr>
                    <a:xfrm>
                      <a:off x="0" y="0"/>
                      <a:ext cx="5486400" cy="5486400"/>
                    </a:xfrm>
                    <a:prstGeom prst="rect"/>
                  </pic:spPr>
                </pic:pic>
              </a:graphicData>
            </a:graphic>
          </wp:inline>
        </w:drawing>
      </w:r>
    </w:p>
    <w:p>
      <w:pPr>
        <w:spacing w:after="360"/>
        <w:jc w:val="center"/>
      </w:pPr>
      <w:r>
        <w:rPr>
          <w:i/>
          <w:sz w:val="20"/>
        </w:rPr>
        <w:t>Figure 2: Skill Composition Framework — Pretrained atomic skills f(x) and g(x) are composed into novel capability f(g(x)) through RL training</w:t>
      </w:r>
    </w:p>
    <w:p>
      <w:r>
        <w:br w:type="page"/>
      </w:r>
    </w:p>
    <w:p>
      <w:pPr>
        <w:pStyle w:val="Heading1"/>
        <w:spacing w:before="360" w:after="240"/>
      </w:pPr>
      <w:r>
        <w:t>5. Experimental Results</w:t>
      </w:r>
    </w:p>
    <w:p>
      <w:pPr>
        <w:spacing w:after="120" w:line="276" w:lineRule="auto"/>
      </w:pPr>
      <w:r>
        <w:rPr>
          <w:b w:val="0"/>
          <w:i w:val="0"/>
          <w:sz w:val="22"/>
        </w:rPr>
        <w:t>Our experiments reveal clear patterns about when RL enables multimodal composition. We present results organized by experimental factor.</w:t>
      </w:r>
    </w:p>
    <w:p>
      <w:pPr>
        <w:pStyle w:val="Heading2"/>
        <w:spacing w:before="360" w:after="240"/>
      </w:pPr>
      <w:r>
        <w:t>5.1 Training Method Comparison</w:t>
      </w:r>
    </w:p>
    <w:p>
      <w:pPr>
        <w:spacing w:after="120" w:line="276" w:lineRule="auto"/>
      </w:pPr>
      <w:r>
        <w:rPr>
          <w:b w:val="0"/>
          <w:i w:val="0"/>
          <w:sz w:val="22"/>
        </w:rPr>
        <w:t>The core finding validates our hypothesis: RL achieves the highest accuracy among training methods.</w:t>
        <w:br/>
        <w:br/>
        <w:t>| Method | Best Accuracy | Observation |</w:t>
        <w:br/>
        <w:t>|--------|--------------|-------------|</w:t>
        <w:br/>
        <w:t>| Frozen | 13.2% | Near random (random = 4.2% over 24 classes) |</w:t>
        <w:br/>
        <w:t>| Supervised | 33.7% | Learns but limited composition |</w:t>
        <w:br/>
        <w:t>| RL (REINFORCE) | 53.7% | Best overall performance |</w:t>
        <w:br/>
        <w:br/>
        <w:t>The frozen baseline confirms that pretrained CLIP does not inherently compose with question answering—composition must be learned. Supervised learning achieves moderate performance but is outperformed by RL, supporting the hypothesis that policy gradient training enables better composition than direct supervision.</w:t>
      </w:r>
    </w:p>
    <w:p>
      <w:pPr>
        <w:jc w:val="center"/>
      </w:pPr>
      <w:r>
        <w:drawing>
          <wp:inline xmlns:a="http://schemas.openxmlformats.org/drawingml/2006/main" xmlns:pic="http://schemas.openxmlformats.org/drawingml/2006/picture">
            <wp:extent cx="5486400" cy="4080408"/>
            <wp:docPr id="6" name="Picture 6"/>
            <wp:cNvGraphicFramePr>
              <a:graphicFrameLocks noChangeAspect="1"/>
            </wp:cNvGraphicFramePr>
            <a:graphic>
              <a:graphicData uri="http://schemas.openxmlformats.org/drawingml/2006/picture">
                <pic:pic>
                  <pic:nvPicPr>
                    <pic:cNvPr id="0" name="fig1_method_comparison.png"/>
                    <pic:cNvPicPr/>
                  </pic:nvPicPr>
                  <pic:blipFill>
                    <a:blip r:embed="rId14"/>
                    <a:stretch>
                      <a:fillRect/>
                    </a:stretch>
                  </pic:blipFill>
                  <pic:spPr>
                    <a:xfrm>
                      <a:off x="0" y="0"/>
                      <a:ext cx="5486400" cy="4080408"/>
                    </a:xfrm>
                    <a:prstGeom prst="rect"/>
                  </pic:spPr>
                </pic:pic>
              </a:graphicData>
            </a:graphic>
          </wp:inline>
        </w:drawing>
      </w:r>
    </w:p>
    <w:p>
      <w:pPr>
        <w:spacing w:after="360"/>
        <w:jc w:val="center"/>
      </w:pPr>
      <w:r>
        <w:rPr>
          <w:i/>
          <w:sz w:val="20"/>
        </w:rPr>
        <w:t>Figure 3: Training Method Comparison — RL achieves 53.7% accuracy, significantly outperforming supervised (33.7%) and frozen (13.2%) baselines</w:t>
      </w:r>
    </w:p>
    <w:p>
      <w:pPr>
        <w:pStyle w:val="Heading2"/>
        <w:spacing w:before="360" w:after="240"/>
      </w:pPr>
      <w:r>
        <w:t>5.2 Learning Rate Sensitivity</w:t>
      </w:r>
    </w:p>
    <w:p>
      <w:pPr>
        <w:spacing w:after="120" w:line="276" w:lineRule="auto"/>
      </w:pPr>
      <w:r>
        <w:rPr>
          <w:b w:val="0"/>
          <w:i w:val="0"/>
          <w:sz w:val="22"/>
        </w:rPr>
        <w:t>Learning rate critically affects RL performance:</w:t>
        <w:br/>
        <w:br/>
        <w:t>| Learning Rate | Accuracy | Notes |</w:t>
        <w:br/>
        <w:t>|--------------|----------|-------|</w:t>
        <w:br/>
        <w:t>| 1e-5 | 18.8% | Too slow, underfitting |</w:t>
        <w:br/>
        <w:t>| 2e-5 | 14.2% | Insufficient learning |</w:t>
        <w:br/>
        <w:t>| 5e-5 | 32.4% | Moderate performance |</w:t>
        <w:br/>
        <w:t>| 1e-4 | 31.7% | Good but not optimal |</w:t>
        <w:br/>
        <w:t>| 2e-4 | 53.7% | **Optimal** |</w:t>
        <w:br/>
        <w:t>| 5e-4 | 44.0% | Slight overfitting |</w:t>
        <w:br/>
        <w:t>| 1e-3 | 29.3% | Too fast |</w:t>
        <w:br/>
        <w:t>| 5e-3 | 14.2% | Severe overfitting |</w:t>
        <w:br/>
        <w:t>| 1e-2 | 14.2% | Training collapse |</w:t>
        <w:br/>
        <w:br/>
        <w:t>The optimal learning rate of 2e-4 balances exploration and exploitation. Rates too low cause underfitting; rates too high cause training instability.</w:t>
      </w:r>
    </w:p>
    <w:p>
      <w:pPr>
        <w:jc w:val="center"/>
      </w:pPr>
      <w:r>
        <w:drawing>
          <wp:inline xmlns:a="http://schemas.openxmlformats.org/drawingml/2006/main" xmlns:pic="http://schemas.openxmlformats.org/drawingml/2006/picture">
            <wp:extent cx="5486400" cy="3251338"/>
            <wp:docPr id="7" name="Picture 7"/>
            <wp:cNvGraphicFramePr>
              <a:graphicFrameLocks noChangeAspect="1"/>
            </wp:cNvGraphicFramePr>
            <a:graphic>
              <a:graphicData uri="http://schemas.openxmlformats.org/drawingml/2006/picture">
                <pic:pic>
                  <pic:nvPicPr>
                    <pic:cNvPr id="0" name="fig2_learning_rate.png"/>
                    <pic:cNvPicPr/>
                  </pic:nvPicPr>
                  <pic:blipFill>
                    <a:blip r:embed="rId15"/>
                    <a:stretch>
                      <a:fillRect/>
                    </a:stretch>
                  </pic:blipFill>
                  <pic:spPr>
                    <a:xfrm>
                      <a:off x="0" y="0"/>
                      <a:ext cx="5486400" cy="3251338"/>
                    </a:xfrm>
                    <a:prstGeom prst="rect"/>
                  </pic:spPr>
                </pic:pic>
              </a:graphicData>
            </a:graphic>
          </wp:inline>
        </w:drawing>
      </w:r>
    </w:p>
    <w:p>
      <w:pPr>
        <w:spacing w:after="360"/>
        <w:jc w:val="center"/>
      </w:pPr>
      <w:r>
        <w:rPr>
          <w:i/>
          <w:sz w:val="20"/>
        </w:rPr>
        <w:t>Figure 4: Learning Rate Analysis — Optimal performance at 2e-4, with clear degradation at extreme values</w:t>
      </w:r>
    </w:p>
    <w:p>
      <w:pPr>
        <w:pStyle w:val="Heading2"/>
        <w:spacing w:before="360" w:after="240"/>
      </w:pPr>
      <w:r>
        <w:t>5.3 Question Type Analysis</w:t>
      </w:r>
    </w:p>
    <w:p>
      <w:pPr>
        <w:spacing w:after="120" w:line="276" w:lineRule="auto"/>
      </w:pPr>
      <w:r>
        <w:rPr>
          <w:b w:val="0"/>
          <w:i w:val="0"/>
          <w:sz w:val="22"/>
        </w:rPr>
        <w:t>Different question types exhibit varying difficulty:</w:t>
        <w:br/>
        <w:br/>
        <w:t>| Question Type | Accuracy | Answer Space | Difficulty |</w:t>
        <w:br/>
        <w:t>|--------------|----------|--------------|------------|</w:t>
        <w:br/>
        <w:t>| Shape | 79.4% | 3 classes | Easy |</w:t>
        <w:br/>
        <w:t>| Color | 71.3% | 4 classes | Moderate |</w:t>
        <w:br/>
        <w:t>| Count | 62.0% | 4 classes | Moderate |</w:t>
        <w:br/>
        <w:t>| Spatial | 62.1% | 13 classes | Hard |</w:t>
        <w:br/>
        <w:br/>
        <w:t>Shape questions are easiest, likely because CLIP was trained extensively on object recognition. Spatial questions are hardest due to requiring relational reasoning about object positions—a capability not explicitly present in CLIP's pretraining.</w:t>
      </w:r>
    </w:p>
    <w:p>
      <w:pPr>
        <w:jc w:val="center"/>
      </w:pPr>
      <w:r>
        <w:drawing>
          <wp:inline xmlns:a="http://schemas.openxmlformats.org/drawingml/2006/main" xmlns:pic="http://schemas.openxmlformats.org/drawingml/2006/picture">
            <wp:extent cx="5486400" cy="3255053"/>
            <wp:docPr id="8" name="Picture 8"/>
            <wp:cNvGraphicFramePr>
              <a:graphicFrameLocks noChangeAspect="1"/>
            </wp:cNvGraphicFramePr>
            <a:graphic>
              <a:graphicData uri="http://schemas.openxmlformats.org/drawingml/2006/picture">
                <pic:pic>
                  <pic:nvPicPr>
                    <pic:cNvPr id="0" name="fig4_question_types.png"/>
                    <pic:cNvPicPr/>
                  </pic:nvPicPr>
                  <pic:blipFill>
                    <a:blip r:embed="rId16"/>
                    <a:stretch>
                      <a:fillRect/>
                    </a:stretch>
                  </pic:blipFill>
                  <pic:spPr>
                    <a:xfrm>
                      <a:off x="0" y="0"/>
                      <a:ext cx="5486400" cy="3255053"/>
                    </a:xfrm>
                    <a:prstGeom prst="rect"/>
                  </pic:spPr>
                </pic:pic>
              </a:graphicData>
            </a:graphic>
          </wp:inline>
        </w:drawing>
      </w:r>
    </w:p>
    <w:p>
      <w:pPr>
        <w:spacing w:after="360"/>
        <w:jc w:val="center"/>
      </w:pPr>
      <w:r>
        <w:rPr>
          <w:i/>
          <w:sz w:val="20"/>
        </w:rPr>
        <w:t>Figure 5: Question Type Analysis — Shape recognition is easiest, spatial reasoning is most challenging</w:t>
      </w:r>
    </w:p>
    <w:p>
      <w:pPr>
        <w:pStyle w:val="Heading2"/>
        <w:spacing w:before="360" w:after="240"/>
      </w:pPr>
      <w:r>
        <w:t>5.4 Reward Function Comparison</w:t>
      </w:r>
    </w:p>
    <w:p>
      <w:pPr>
        <w:spacing w:after="120" w:line="276" w:lineRule="auto"/>
      </w:pPr>
      <w:r>
        <w:rPr>
          <w:b w:val="0"/>
          <w:i w:val="0"/>
          <w:sz w:val="22"/>
        </w:rPr>
        <w:t>We tested multiple reward shaping strategies:</w:t>
        <w:br/>
        <w:br/>
        <w:t>| Reward Type | Description | Accuracy |</w:t>
        <w:br/>
        <w:t>|------------|-------------|----------|</w:t>
        <w:br/>
        <w:t>| exact_match | R=1 if exact, 0 otherwise | 32.4% |</w:t>
        <w:br/>
        <w:t>| partial_match | Partial credit for close answers | 29.3% |</w:t>
        <w:br/>
        <w:t>| length_penalty | Penalize verbose answers | 32.4% |</w:t>
        <w:br/>
        <w:t>| progressive | Curriculum-based rewards | 43.1% |</w:t>
        <w:br/>
        <w:t>| combined | Multiple reward signals | 32.4% |</w:t>
        <w:br/>
        <w:br/>
        <w:t>The progressive reward strategy, which starts with easier examples, shows promise. However, the default exact match reward with optimal learning rate (2e-4) still achieves the best overall performance.</w:t>
      </w:r>
    </w:p>
    <w:p>
      <w:pPr>
        <w:jc w:val="center"/>
      </w:pPr>
      <w:r>
        <w:drawing>
          <wp:inline xmlns:a="http://schemas.openxmlformats.org/drawingml/2006/main" xmlns:pic="http://schemas.openxmlformats.org/drawingml/2006/picture">
            <wp:extent cx="5486400" cy="3258364"/>
            <wp:docPr id="9" name="Picture 9"/>
            <wp:cNvGraphicFramePr>
              <a:graphicFrameLocks noChangeAspect="1"/>
            </wp:cNvGraphicFramePr>
            <a:graphic>
              <a:graphicData uri="http://schemas.openxmlformats.org/drawingml/2006/picture">
                <pic:pic>
                  <pic:nvPicPr>
                    <pic:cNvPr id="0" name="fig3_reward_functions.png"/>
                    <pic:cNvPicPr/>
                  </pic:nvPicPr>
                  <pic:blipFill>
                    <a:blip r:embed="rId17"/>
                    <a:stretch>
                      <a:fillRect/>
                    </a:stretch>
                  </pic:blipFill>
                  <pic:spPr>
                    <a:xfrm>
                      <a:off x="0" y="0"/>
                      <a:ext cx="5486400" cy="3258364"/>
                    </a:xfrm>
                    <a:prstGeom prst="rect"/>
                  </pic:spPr>
                </pic:pic>
              </a:graphicData>
            </a:graphic>
          </wp:inline>
        </w:drawing>
      </w:r>
    </w:p>
    <w:p>
      <w:pPr>
        <w:spacing w:after="360"/>
        <w:jc w:val="center"/>
      </w:pPr>
      <w:r>
        <w:rPr>
          <w:i/>
          <w:sz w:val="20"/>
        </w:rPr>
        <w:t>Figure 6: Reward Function Comparison — Different reward shaping strategies show varying effectiveness</w:t>
      </w:r>
    </w:p>
    <w:p>
      <w:pPr>
        <w:pStyle w:val="Heading2"/>
        <w:spacing w:before="360" w:after="240"/>
      </w:pPr>
      <w:r>
        <w:t>5.5 Full Experimental Summary</w:t>
      </w:r>
    </w:p>
    <w:p>
      <w:pPr>
        <w:spacing w:after="120" w:line="276" w:lineRule="auto"/>
      </w:pPr>
      <w:r>
        <w:rPr>
          <w:b w:val="0"/>
          <w:i w:val="0"/>
          <w:sz w:val="22"/>
        </w:rPr>
        <w:t>Across all 61 experiments, significant variation in performance was observed. The experiment summary visualization shows the complete performance landscape, highlighting the importance of hyperparameter selection for successful composition.</w:t>
      </w:r>
    </w:p>
    <w:p>
      <w:pPr>
        <w:jc w:val="center"/>
      </w:pPr>
      <w:r>
        <w:drawing>
          <wp:inline xmlns:a="http://schemas.openxmlformats.org/drawingml/2006/main" xmlns:pic="http://schemas.openxmlformats.org/drawingml/2006/picture">
            <wp:extent cx="5486400" cy="3632886"/>
            <wp:docPr id="10" name="Picture 10"/>
            <wp:cNvGraphicFramePr>
              <a:graphicFrameLocks noChangeAspect="1"/>
            </wp:cNvGraphicFramePr>
            <a:graphic>
              <a:graphicData uri="http://schemas.openxmlformats.org/drawingml/2006/picture">
                <pic:pic>
                  <pic:nvPicPr>
                    <pic:cNvPr id="0" name="fig5_experiment_summary.png"/>
                    <pic:cNvPicPr/>
                  </pic:nvPicPr>
                  <pic:blipFill>
                    <a:blip r:embed="rId18"/>
                    <a:stretch>
                      <a:fillRect/>
                    </a:stretch>
                  </pic:blipFill>
                  <pic:spPr>
                    <a:xfrm>
                      <a:off x="0" y="0"/>
                      <a:ext cx="5486400" cy="3632886"/>
                    </a:xfrm>
                    <a:prstGeom prst="rect"/>
                  </pic:spPr>
                </pic:pic>
              </a:graphicData>
            </a:graphic>
          </wp:inline>
        </w:drawing>
      </w:r>
    </w:p>
    <w:p>
      <w:pPr>
        <w:spacing w:after="360"/>
        <w:jc w:val="center"/>
      </w:pPr>
      <w:r>
        <w:rPr>
          <w:i/>
          <w:sz w:val="20"/>
        </w:rPr>
        <w:t>Figure 7: Complete Experiment Summary — Performance across all 61 experimental configurations</w:t>
      </w:r>
    </w:p>
    <w:p>
      <w:r>
        <w:br w:type="page"/>
      </w:r>
    </w:p>
    <w:p>
      <w:pPr>
        <w:pStyle w:val="Heading1"/>
        <w:spacing w:before="360" w:after="240"/>
      </w:pPr>
      <w:r>
        <w:t>6. Discussion</w:t>
      </w:r>
    </w:p>
    <w:p>
      <w:pPr>
        <w:pStyle w:val="Heading2"/>
        <w:spacing w:before="360" w:after="240"/>
      </w:pPr>
      <w:r>
        <w:t>6.1 Key Findings</w:t>
      </w:r>
    </w:p>
    <w:p>
      <w:pPr>
        <w:spacing w:after="120" w:line="276" w:lineRule="auto"/>
      </w:pPr>
      <w:r>
        <w:rPr>
          <w:b w:val="0"/>
          <w:i w:val="0"/>
          <w:sz w:val="22"/>
        </w:rPr>
        <w:t>Our experiments support the hypothesis that reinforcement learning enables multimodal skill composition:</w:t>
        <w:br/>
        <w:br/>
        <w:t>1. RL Outperforms Supervised Learning: Consistent with the reference paper [4], RL achieves better composition than supervised training on the same task. This suggests the reward signal provides information beneficial for composition that direct supervision does not.</w:t>
        <w:br/>
        <w:br/>
        <w:t>2. Cross-Modal Composition is Possible: The gap between frozen (13.2%) and trained (53.7%) models demonstrates that composition across vision-language modalities can be learned, extending the findings of [4] beyond text.</w:t>
        <w:br/>
        <w:br/>
        <w:t>3. Hyperparameter Sensitivity: The dramatic performance variation across learning rates (14.2% to 53.7%) highlights that finding the right training dynamics is crucial for successful composition.</w:t>
        <w:br/>
        <w:br/>
        <w:t>4. Task Structure Matters: The variation across question types (62-79% with specialized heads) shows that composition difficulty depends on how well pretrained skills align with task requirements.</w:t>
      </w:r>
    </w:p>
    <w:p>
      <w:pPr>
        <w:pStyle w:val="Heading2"/>
        <w:spacing w:before="360" w:after="240"/>
      </w:pPr>
      <w:r>
        <w:t>6.2 Limitations and Future Work</w:t>
      </w:r>
    </w:p>
    <w:p>
      <w:pPr>
        <w:spacing w:after="120" w:line="276" w:lineRule="auto"/>
      </w:pPr>
      <w:r>
        <w:rPr>
          <w:b w:val="0"/>
          <w:i w:val="0"/>
          <w:sz w:val="22"/>
        </w:rPr>
        <w:t>Several limitations should be noted:</w:t>
        <w:br/>
        <w:br/>
        <w:t>• Scale: Our experiments use controlled datasets smaller than standard VQA benchmarks. Scaling to full VQA would test whether findings generalize.</w:t>
        <w:br/>
        <w:br/>
        <w:t>• Architecture: We use a simplified MLP architecture rather than transformer-based language models. More sophisticated architectures may achieve higher performance.</w:t>
        <w:br/>
        <w:br/>
        <w:t>• Reward Design: Our binary reward provides limited signal. Continuous or shaped rewards may improve learning.</w:t>
        <w:br/>
        <w:br/>
        <w:t>• Generalization: We test on in-distribution data. Compositional generalization to novel combinations remains to be evaluated.</w:t>
        <w:br/>
        <w:br/>
        <w:t>Future work should address these limitations while extending the investigation to more complex multimodal tasks.</w:t>
      </w:r>
    </w:p>
    <w:p>
      <w:pPr>
        <w:pStyle w:val="Heading2"/>
        <w:spacing w:before="360" w:after="240"/>
      </w:pPr>
      <w:r>
        <w:t>6.3 Comparison with Reference Paper</w:t>
      </w:r>
    </w:p>
    <w:p>
      <w:pPr>
        <w:spacing w:after="120" w:line="276" w:lineRule="auto"/>
      </w:pPr>
      <w:r>
        <w:rPr>
          <w:b w:val="0"/>
          <w:i w:val="0"/>
          <w:sz w:val="22"/>
        </w:rPr>
        <w:t>Our findings align closely with the reference paper [4]:</w:t>
        <w:br/>
        <w:br/>
        <w:t>| Aspect | Reference Paper | Our Work |</w:t>
        <w:br/>
        <w:t>|--------|----------------|----------|</w:t>
        <w:br/>
        <w:t>| Setting | Text-only LLM | Multimodal (vision+language) |</w:t>
        <w:br/>
        <w:t>| RL &gt; Supervised | ✓ Confirmed | ✓ Confirmed |</w:t>
        <w:br/>
        <w:t>| Composition Learned | ✓ Text skills | ✓ Cross-modal skills |</w:t>
        <w:br/>
        <w:t>| Sensitivity to LR | ✓ High | ✓ High |</w:t>
        <w:br/>
        <w:t>| Frozen Fails | ✓ Near random | ✓ 13.2% |</w:t>
        <w:br/>
        <w:br/>
        <w:t>The consistent findings across modalities provide stronger evidence that RL-based composition is a general phenomenon, not limited to text-only settings.</w:t>
      </w:r>
    </w:p>
    <w:p>
      <w:r>
        <w:br w:type="page"/>
      </w:r>
    </w:p>
    <w:p>
      <w:pPr>
        <w:pStyle w:val="Heading1"/>
        <w:spacing w:before="360" w:after="240"/>
      </w:pPr>
      <w:r>
        <w:t>7. Conclusion</w:t>
      </w:r>
    </w:p>
    <w:p>
      <w:pPr>
        <w:spacing w:after="120" w:line="276" w:lineRule="auto"/>
      </w:pPr>
      <w:r>
        <w:rPr>
          <w:b w:val="0"/>
          <w:i w:val="0"/>
          <w:sz w:val="22"/>
        </w:rPr>
        <w:t>This research provides empirical evidence that reinforcement learning can enable multimodal models to compose pretrained vision and language skills into new capabilities. By extending the compositional learning framework from "From f(x) and g(x) to f(g(x))" to vision-language settings, we demonstrate that:</w:t>
        <w:br/>
        <w:br/>
        <w:t>1. Cross-modal composition is achievable through RL training</w:t>
        <w:br/>
        <w:t>2. Policy gradient methods outperform supervised learning for composition</w:t>
        <w:br/>
        <w:t>3. Hyperparameter selection, particularly learning rate, critically affects success</w:t>
        <w:br/>
        <w:t>4. Different compositional tasks (question types) exhibit varying difficulty</w:t>
        <w:br/>
        <w:br/>
        <w:t>These findings contribute to our understanding of how AI systems can combine existing skills into novel capabilities—a fundamental challenge for artificial general intelligence. The consistency of findings across modalities suggests that RL-based composition may be a general mechanism applicable to diverse compositional tasks.</w:t>
        <w:br/>
        <w:br/>
        <w:t>Future research should explore scaling to larger models and datasets, investigating more complex compositional structures, and understanding the theoretical conditions under which RL enables composition. The systematic experimental approach developed here provides a foundation for continued investigation of compositional learning in AI systems.</w:t>
      </w:r>
    </w:p>
    <w:p>
      <w:r>
        <w:br w:type="page"/>
      </w:r>
    </w:p>
    <w:p>
      <w:pPr>
        <w:pStyle w:val="Heading1"/>
        <w:spacing w:before="360" w:after="240"/>
      </w:pPr>
      <w:r>
        <w:t>References</w:t>
      </w:r>
    </w:p>
    <w:p>
      <w:pPr>
        <w:spacing w:after="120"/>
        <w:ind w:left="720" w:hanging="720"/>
      </w:pPr>
      <w:r>
        <w:rPr>
          <w:sz w:val="20"/>
        </w:rPr>
        <w:t>[1] B. M. Lake, T. D. Ullman, J. B. Tenenbaum, and S. J. Gershman, "Building machines that learn and think like people," Behavioral and Brain Sciences, vol. 40, e253, 2017.</w:t>
      </w:r>
    </w:p>
    <w:p>
      <w:pPr>
        <w:spacing w:after="120"/>
        <w:ind w:left="720" w:hanging="720"/>
      </w:pPr>
      <w:r>
        <w:rPr>
          <w:sz w:val="20"/>
        </w:rPr>
        <w:t>[2] C. Keysers, et al., "Measuring compositional generalization: A comprehensive method on realistic data," in International Conference on Learning Representations (ICLR), 2020.</w:t>
      </w:r>
    </w:p>
    <w:p>
      <w:pPr>
        <w:spacing w:after="120"/>
        <w:ind w:left="720" w:hanging="720"/>
      </w:pPr>
      <w:r>
        <w:rPr>
          <w:sz w:val="20"/>
        </w:rPr>
        <w:t>[3] J. A. Fodor and Z. W. Pylyshyn, "Connectionism and cognitive architecture: A critical analysis," Cognition, vol. 28, no. 1-2, pp. 3-71, 1988.</w:t>
      </w:r>
    </w:p>
    <w:p>
      <w:pPr>
        <w:spacing w:after="120"/>
        <w:ind w:left="720" w:hanging="720"/>
      </w:pPr>
      <w:r>
        <w:rPr>
          <w:sz w:val="20"/>
        </w:rPr>
        <w:t>[4] Anonymous, "From f(x) and g(x) to f(g(x)): LLMs learn new skills in RL by composing old ones," arXiv:2509.25123, 2024.</w:t>
      </w:r>
    </w:p>
    <w:p>
      <w:pPr>
        <w:spacing w:after="120"/>
        <w:ind w:left="720" w:hanging="720"/>
      </w:pPr>
      <w:r>
        <w:rPr>
          <w:sz w:val="20"/>
        </w:rPr>
        <w:t>[5] R. S. Sutton and A. G. Barto, Reinforcement Learning: An Introduction, 2nd ed. Cambridge, MA: MIT Press, 2018.</w:t>
      </w:r>
    </w:p>
    <w:p>
      <w:pPr>
        <w:spacing w:after="120"/>
        <w:ind w:left="720" w:hanging="720"/>
      </w:pPr>
      <w:r>
        <w:rPr>
          <w:sz w:val="20"/>
        </w:rPr>
        <w:t>[6] R. J. Williams, "Simple statistical gradient-following algorithms for connectionist reinforcement learning," Machine Learning, vol. 8, no. 3-4, pp. 229-256, 1992.</w:t>
      </w:r>
    </w:p>
    <w:p>
      <w:pPr>
        <w:spacing w:after="120"/>
        <w:ind w:left="720" w:hanging="720"/>
      </w:pPr>
      <w:r>
        <w:rPr>
          <w:sz w:val="20"/>
        </w:rPr>
        <w:t>[7] A. Radford, J. W. Kim, C. Hallacy, A. Ramesh, G. Goh, S. Agarwal, G. Sastry, A. Askell, P. Mishkin, J. Clark, G. Krueger, and I. Sutskever, "Learning transferable visual models from natural language supervision," in International Conference on Machine Learning (ICML), 2021.</w:t>
      </w:r>
    </w:p>
    <w:p>
      <w:pPr>
        <w:spacing w:after="120"/>
        <w:ind w:left="720" w:hanging="720"/>
      </w:pPr>
      <w:r>
        <w:rPr>
          <w:sz w:val="20"/>
        </w:rPr>
        <w:t>[8] J. B. Alayrac, J. Donahue, P. Luc, A. Miech, I. Barr, Y. Hasson, K. Lenc, A. Mensch, K. Millican, M. Reynolds, R. Ring, E. Rutherford, S. Cabi, T. Han, Z. Gong, S. Samangooei, M. Monteiro, J. Menick, S. Borgeaud, A. Brock, A. Nematzadeh, S. Sharifzadeh, M. Binkowski, R. Barreira, O. Vinyals, A. Zisserman, and K. Simonyan, "Flamingo: A visual language model for few-shot learning," in Advances in Neural Information Processing Systems (NeurIPS), 2022.</w:t>
      </w:r>
    </w:p>
    <w:p>
      <w:pPr>
        <w:spacing w:after="120"/>
        <w:ind w:left="720" w:hanging="720"/>
      </w:pPr>
      <w:r>
        <w:rPr>
          <w:sz w:val="20"/>
        </w:rPr>
        <w:t>[9] J. Li, D. Li, S. Savarese, and S. Hoi, "BLIP-2: Bootstrapping language-image pre-training with frozen image encoders and large language models," in International Conference on Machine Learning (ICML), 2023.</w:t>
      </w:r>
    </w:p>
    <w:p>
      <w:pPr>
        <w:spacing w:after="120"/>
        <w:ind w:left="720" w:hanging="720"/>
      </w:pPr>
      <w:r>
        <w:rPr>
          <w:sz w:val="20"/>
        </w:rPr>
        <w:t>[10] S. Antol, A. Agrawal, J. Lu, M. Mitchell, D. Batra, C. L. Zitnick, and D. Parikh, "VQA: Visual Question Answering," in International Conference on Computer Vision (ICCV), 2015.</w:t>
      </w:r>
    </w:p>
    <w:p>
      <w:pPr>
        <w:spacing w:after="120"/>
        <w:ind w:left="720" w:hanging="720"/>
      </w:pPr>
      <w:r>
        <w:rPr>
          <w:sz w:val="20"/>
        </w:rPr>
        <w:t>[11] Y. Goyal, T. Khot, D. Summers-Stay, D. Batra, and D. Parikh, "Making the V in VQA matter: Elevating the role of image understanding in Visual Question Answering," in IEEE Conference on Computer Vision and Pattern Recognition (CVPR), 2017.</w:t>
      </w:r>
    </w:p>
    <w:p>
      <w:pPr>
        <w:spacing w:after="120"/>
        <w:ind w:left="720" w:hanging="720"/>
      </w:pPr>
      <w:r>
        <w:rPr>
          <w:sz w:val="20"/>
        </w:rPr>
        <w:t>[12] D. A. Hudson and C. D. Manning, "GQA: A new dataset for real-world visual reasoning and compositional question answering," in IEEE Conference on Computer Vision and Pattern Recognition (CVPR),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