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rPr>
          <w:rFonts w:ascii="Calibri" w:cs="Calibri" w:eastAsia="Calibri" w:hAnsi="Calibri"/>
          <w:b/>
          <w:bCs/>
          <w:color w:val="F58220"/>
          <w:spacing w:val="40"/>
          <w:sz w:val="26"/>
          <w:szCs w:val="26"/>
        </w:rPr>
        <w:t xml:space="preserve">JOURNEYMAN SYSTEMS LLC</w:t>
      </w:r>
    </w:p>
    <w:p>
      <w:pPr>
        <w:spacing w:after="40" w:before="20"/>
      </w:pPr>
      <w:r>
        <w:rPr>
          <w:rFonts w:ascii="Calibri" w:cs="Calibri" w:eastAsia="Calibri" w:hAnsi="Calibri"/>
          <w:color w:val="6B7280"/>
          <w:sz w:val="21"/>
          <w:szCs w:val="21"/>
        </w:rPr>
        <w:t xml:space="preserve">Journeyman Projects module</w:t>
      </w:r>
    </w:p>
    <w:p>
      <w:pPr>
        <w:pBdr>
          <w:top w:val="single" w:color="00539B" w:sz="16" w:space="10"/>
        </w:pBdr>
        <w:spacing w:after="60" w:before="220"/>
      </w:pPr>
      <w:r>
        <w:rPr>
          <w:rFonts w:ascii="Calibri" w:cs="Calibri" w:eastAsia="Calibri" w:hAnsi="Calibri"/>
          <w:b/>
          <w:bCs/>
          <w:color w:val="00539B"/>
          <w:sz w:val="48"/>
          <w:szCs w:val="48"/>
        </w:rPr>
        <w:t xml:space="preserve">API Contract</w:t>
      </w:r>
    </w:p>
    <w:p>
      <w:pPr>
        <w:spacing w:after="320"/>
      </w:pPr>
      <w:r>
        <w:rPr>
          <w:rFonts w:ascii="Calibri" w:cs="Calibri" w:eastAsia="Calibri" w:hAnsi="Calibri"/>
          <w:color w:val="1F2933"/>
          <w:sz w:val="30"/>
          <w:szCs w:val="30"/>
        </w:rPr>
        <w:t xml:space="preserve">v1 — staff and portal surfaces</w:t>
      </w:r>
    </w:p>
    <w:p>
      <w:pPr>
        <w:spacing w:after="60"/>
      </w:pPr>
      <w:r>
        <w:rPr>
          <w:rFonts w:ascii="Calibri" w:cs="Calibri" w:eastAsia="Calibri" w:hAnsi="Calibri"/>
          <w:i/>
          <w:iCs/>
          <w:color w:val="6B7280"/>
          <w:sz w:val="22"/>
          <w:szCs w:val="22"/>
        </w:rPr>
        <w:t xml:space="preserve">Route surface, request and response shapes, error semantics, authorization rules</w:t>
      </w:r>
    </w:p>
    <w:p>
      <w:pPr>
        <w:spacing w:before="560"/>
      </w:pPr>
      <w:r>
        <w:rPr>
          <w:rFonts w:ascii="Calibri" w:cs="Calibri" w:eastAsia="Calibri" w:hAnsi="Calibri"/>
          <w:b/>
          <w:bCs/>
          <w:color w:val="1F2933"/>
          <w:sz w:val="19"/>
          <w:szCs w:val="19"/>
        </w:rPr>
        <w:t xml:space="preserve">Version 1.0 · August 2026 · Owner: Mason Holloway</w:t>
      </w:r>
    </w:p>
    <w:p>
      <w:r>
        <w:rPr>
          <w:rFonts w:ascii="Calibri" w:cs="Calibri" w:eastAsia="Calibri" w:hAnsi="Calibri"/>
          <w:color w:val="6B7280"/>
          <w:sz w:val="19"/>
          <w:szCs w:val="19"/>
        </w:rPr>
        <w:t xml:space="preserve">Companion to journeyman_projects_schema.sql and journeyman_projects_seed.sql</w:t>
      </w:r>
    </w:p>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1. Conventions</w:t>
      </w:r>
    </w:p>
    <w:p>
      <w:pPr>
        <w:pStyle w:val="Heading2"/>
        <w:spacing w:after="100" w:before="240"/>
      </w:pPr>
      <w:r>
        <w:rPr>
          <w:rFonts w:ascii="Calibri" w:cs="Calibri" w:eastAsia="Calibri" w:hAnsi="Calibri"/>
          <w:b/>
          <w:bCs/>
          <w:color w:val="1F2933"/>
          <w:sz w:val="24"/>
          <w:szCs w:val="24"/>
        </w:rPr>
        <w:t xml:space="preserve">1.1 Two route trees, separately authenticated</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2900"/>
        <w:gridCol w:w="2200"/>
        <w:gridCol w:w="4260"/>
      </w:tblGrid>
      <w:tr>
        <w:trPr>
          <w:tblHeader/>
        </w:trPr>
        <w:tc>
          <w:tcPr>
            <w:tcW w:type="dxa" w:w="29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Prefix</w:t>
            </w:r>
          </w:p>
        </w:tc>
        <w:tc>
          <w:tcPr>
            <w:tcW w:type="dxa" w:w="22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Identity</w:t>
            </w:r>
          </w:p>
        </w:tc>
        <w:tc>
          <w:tcPr>
            <w:tcW w:type="dxa" w:w="42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Session source</w:t>
            </w:r>
          </w:p>
        </w:tc>
      </w:tr>
      <w:tr>
        <w:tc>
          <w:tcPr>
            <w:tcW w:type="dxa" w:w="29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/api/v1/projects/…</w:t>
            </w:r>
          </w:p>
        </w:tc>
        <w:tc>
          <w:tcPr>
            <w:tcW w:type="dxa" w:w="2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staff</w:t>
            </w:r>
          </w:p>
        </w:tc>
        <w:tc>
          <w:tcPr>
            <w:tcW w:type="dxa" w:w="42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Platform staff session</w:t>
            </w:r>
          </w:p>
        </w:tc>
      </w:tr>
      <w:tr>
        <w:tc>
          <w:tcPr>
            <w:tcW w:type="dxa" w:w="29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/api/v1/portal/…</w:t>
            </w:r>
          </w:p>
        </w:tc>
        <w:tc>
          <w:tcPr>
            <w:tcW w:type="dxa" w:w="2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vendor_portal_users</w:t>
            </w:r>
          </w:p>
        </w:tc>
        <w:tc>
          <w:tcPr>
            <w:tcW w:type="dxa" w:w="4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Portal session, separate cookie and separate signing key</w:t>
            </w:r>
          </w:p>
        </w:tc>
      </w:tr>
    </w:tbl>
    <w:p>
      <w:pPr>
        <w:spacing w:after="120" w:before="80" w:line="276"/>
      </w:pPr>
      <w:r>
        <w:rPr>
          <w:rFonts w:ascii="Calibri" w:cs="Calibri" w:eastAsia="Calibri" w:hAnsi="Calibri"/>
          <w:b w:val="false"/>
          <w:bCs w:val="false"/>
          <w:i w:val="false"/>
          <w:iCs w:val="false"/>
          <w:color w:val="1F2933"/>
          <w:sz w:val="21"/>
          <w:szCs w:val="21"/>
        </w:rPr>
        <w:t xml:space="preserve">These must not share middleware that resolves identity. A single resolveUser() serving both is the shape of the bug that lets a portal token reach a staff route. Two resolvers, two session stores, no shared code path.</w:t>
      </w:r>
    </w:p>
    <w:p>
      <w:pPr>
        <w:pStyle w:val="Heading2"/>
        <w:spacing w:after="100" w:before="240"/>
      </w:pPr>
      <w:r>
        <w:rPr>
          <w:rFonts w:ascii="Calibri" w:cs="Calibri" w:eastAsia="Calibri" w:hAnsi="Calibri"/>
          <w:b/>
          <w:bCs/>
          <w:color w:val="1F2933"/>
          <w:sz w:val="24"/>
          <w:szCs w:val="24"/>
        </w:rPr>
        <w:t xml:space="preserve">1.2 Every request opens a transaction and sets the tenant</w:t>
      </w:r>
    </w:p>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BEGIN;</w:t>
            </w:r>
          </w:p>
          <w:p>
            <w:pPr>
              <w:spacing w:after="0" w:before="0"/>
            </w:pPr>
            <w:r>
              <w:rPr>
                <w:rFonts w:ascii="Consolas" w:cs="Consolas" w:eastAsia="Consolas" w:hAnsi="Consolas"/>
                <w:color w:val="0B2E4F"/>
                <w:sz w:val="17"/>
                <w:szCs w:val="17"/>
              </w:rPr>
              <w:t xml:space="preserve">SET LOCAL app.tenant_id = '&lt;tenant uuid from session&gt;';</w:t>
            </w:r>
          </w:p>
          <w:p>
            <w:pPr>
              <w:spacing w:after="0" w:before="0"/>
            </w:pPr>
            <w:r>
              <w:rPr>
                <w:rFonts w:ascii="Consolas" w:cs="Consolas" w:eastAsia="Consolas" w:hAnsi="Consolas"/>
                <w:color w:val="0B2E4F"/>
                <w:sz w:val="17"/>
                <w:szCs w:val="17"/>
              </w:rPr>
              <w:t xml:space="preserve">-- handler runs here</w:t>
            </w:r>
          </w:p>
          <w:p>
            <w:pPr>
              <w:spacing w:after="0" w:before="0"/>
            </w:pPr>
            <w:r>
              <w:rPr>
                <w:rFonts w:ascii="Consolas" w:cs="Consolas" w:eastAsia="Consolas" w:hAnsi="Consolas"/>
                <w:color w:val="0B2E4F"/>
                <w:sz w:val="17"/>
                <w:szCs w:val="17"/>
              </w:rPr>
              <w:t xml:space="preserve">COMMIT;</w:t>
            </w:r>
          </w:p>
        </w:tc>
      </w:tr>
    </w:tbl>
    <w:p>
      <w:pPr>
        <w:spacing w:after="120" w:before="80" w:line="276"/>
      </w:pPr>
      <w:r>
        <w:rPr>
          <w:rFonts w:ascii="Calibri" w:cs="Calibri" w:eastAsia="Calibri" w:hAnsi="Calibri"/>
          <w:b w:val="false"/>
          <w:bCs w:val="false"/>
          <w:i w:val="false"/>
          <w:iCs w:val="false"/>
          <w:color w:val="1F2933"/>
          <w:sz w:val="21"/>
          <w:szCs w:val="21"/>
        </w:rPr>
        <w:t xml:space="preserve">SET LOCAL, never SET. With a pooled connection, plain SET leaks the tenant to whichever request borrows that connection next. The application role must not own the tables and must not have BYPASSRLS.</w:t>
      </w:r>
    </w:p>
    <w:p>
      <w:pPr>
        <w:pStyle w:val="Heading2"/>
        <w:spacing w:after="100" w:before="240"/>
      </w:pPr>
      <w:r>
        <w:rPr>
          <w:rFonts w:ascii="Calibri" w:cs="Calibri" w:eastAsia="Calibri" w:hAnsi="Calibri"/>
          <w:b/>
          <w:bCs/>
          <w:color w:val="1F2933"/>
          <w:sz w:val="24"/>
          <w:szCs w:val="24"/>
        </w:rPr>
        <w:t xml:space="preserve">1.3 Standard response envelope</w:t>
      </w:r>
    </w:p>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 success</w:t>
            </w:r>
          </w:p>
          <w:p>
            <w:pPr>
              <w:spacing w:after="0" w:before="0"/>
            </w:pPr>
            <w:r>
              <w:rPr>
                <w:rFonts w:ascii="Consolas" w:cs="Consolas" w:eastAsia="Consolas" w:hAnsi="Consolas"/>
                <w:color w:val="0B2E4F"/>
                <w:sz w:val="17"/>
                <w:szCs w:val="17"/>
              </w:rPr>
              <w:t xml:space="preserve">{ "data": &lt;object|array&gt;, "meta": { "page": 1, "per_page": 50, "total": 137 } }</w:t>
            </w:r>
          </w:p>
          <w:p>
            <w:pPr>
              <w:spacing w:after="0" w:before="0"/>
            </w:pPr>
            <w:r>
              <w:rPr>
                <w:rFonts w:ascii="Consolas" w:cs="Consolas" w:eastAsia="Consolas" w:hAnsi="Consolas"/>
                <w:color w:val="0B2E4F"/>
                <w:sz w:val="17"/>
                <w:szCs w:val="17"/>
              </w:rPr>
              <w:t xml:space="preserve"/>
            </w:r>
          </w:p>
          <w:p>
            <w:pPr>
              <w:spacing w:after="0" w:before="0"/>
            </w:pPr>
            <w:r>
              <w:rPr>
                <w:rFonts w:ascii="Consolas" w:cs="Consolas" w:eastAsia="Consolas" w:hAnsi="Consolas"/>
                <w:color w:val="0B2E4F"/>
                <w:sz w:val="17"/>
                <w:szCs w:val="17"/>
              </w:rPr>
              <w:t xml:space="preserve">// error</w:t>
            </w:r>
          </w:p>
          <w:p>
            <w:pPr>
              <w:spacing w:after="0" w:before="0"/>
            </w:pPr>
            <w:r>
              <w:rPr>
                <w:rFonts w:ascii="Consolas" w:cs="Consolas" w:eastAsia="Consolas" w:hAnsi="Consolas"/>
                <w:color w:val="0B2E4F"/>
                <w:sz w:val="17"/>
                <w:szCs w:val="17"/>
              </w:rPr>
              <w:t xml:space="preserve">{ "error": { "code": "compliance_blocked",</w:t>
            </w:r>
          </w:p>
          <w:p>
            <w:pPr>
              <w:spacing w:after="0" w:before="0"/>
            </w:pPr>
            <w:r>
              <w:rPr>
                <w:rFonts w:ascii="Consolas" w:cs="Consolas" w:eastAsia="Consolas" w:hAnsi="Consolas"/>
                <w:color w:val="0B2E4F"/>
                <w:sz w:val="17"/>
                <w:szCs w:val="17"/>
              </w:rPr>
              <w:t xml:space="preserve">             "message": "Vendor cannot be scheduled: general liability expired 2026-08-01",</w:t>
            </w:r>
          </w:p>
          <w:p>
            <w:pPr>
              <w:spacing w:after="0" w:before="0"/>
            </w:pPr>
            <w:r>
              <w:rPr>
                <w:rFonts w:ascii="Consolas" w:cs="Consolas" w:eastAsia="Consolas" w:hAnsi="Consolas"/>
                <w:color w:val="0B2E4F"/>
                <w:sz w:val="17"/>
                <w:szCs w:val="17"/>
              </w:rPr>
              <w:t xml:space="preserve">             "details": { "vendor_id": "…", "documents": ["gl_insurance"] } } }</w:t>
            </w:r>
          </w:p>
        </w:tc>
      </w:tr>
    </w:tbl>
    <w:p>
      <w:pPr>
        <w:spacing w:after="120" w:before="80" w:line="276"/>
      </w:pPr>
      <w:r>
        <w:rPr>
          <w:rFonts w:ascii="Calibri" w:cs="Calibri" w:eastAsia="Calibri" w:hAnsi="Calibri"/>
          <w:b w:val="false"/>
          <w:bCs w:val="false"/>
          <w:i w:val="false"/>
          <w:iCs w:val="false"/>
          <w:color w:val="1F2933"/>
          <w:sz w:val="21"/>
          <w:szCs w:val="21"/>
        </w:rPr>
        <w:t xml:space="preserve">message is shown to a human. code is what the client branches on. Never branch on message text.</w:t>
      </w:r>
    </w:p>
    <w:p>
      <w:pPr>
        <w:pStyle w:val="Heading2"/>
        <w:spacing w:after="100" w:before="240"/>
      </w:pPr>
      <w:r>
        <w:rPr>
          <w:rFonts w:ascii="Calibri" w:cs="Calibri" w:eastAsia="Calibri" w:hAnsi="Calibri"/>
          <w:b/>
          <w:bCs/>
          <w:color w:val="1F2933"/>
          <w:sz w:val="24"/>
          <w:szCs w:val="24"/>
        </w:rPr>
        <w:t xml:space="preserve">1.4 Error codes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800"/>
        <w:gridCol w:w="2700"/>
        <w:gridCol w:w="5860"/>
      </w:tblGrid>
      <w:tr>
        <w:trPr>
          <w:tblHeader/>
        </w:trPr>
        <w:tc>
          <w:tcPr>
            <w:tcW w:type="dxa" w:w="8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HTTP</w:t>
            </w:r>
          </w:p>
        </w:tc>
        <w:tc>
          <w:tcPr>
            <w:tcW w:type="dxa" w:w="27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code</w:t>
            </w:r>
          </w:p>
        </w:tc>
        <w:tc>
          <w:tcPr>
            <w:tcW w:type="dxa" w:w="58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When</w:t>
            </w:r>
          </w:p>
        </w:tc>
      </w:tr>
      <w:tr>
        <w:tc>
          <w:tcPr>
            <w:tcW w:type="dxa" w:w="8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400</w:t>
            </w:r>
          </w:p>
        </w:tc>
        <w:tc>
          <w:tcPr>
            <w:tcW w:type="dxa" w:w="2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validation_failed</w:t>
            </w:r>
          </w:p>
        </w:tc>
        <w:tc>
          <w:tcPr>
            <w:tcW w:type="dxa" w:w="58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Malformed body. details carries field-level errors.</w:t>
            </w:r>
          </w:p>
        </w:tc>
      </w:tr>
      <w:tr>
        <w:tc>
          <w:tcPr>
            <w:tcW w:type="dxa" w:w="8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401</w:t>
            </w:r>
          </w:p>
        </w:tc>
        <w:tc>
          <w:tcPr>
            <w:tcW w:type="dxa" w:w="2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unauthenticated</w:t>
            </w:r>
          </w:p>
        </w:tc>
        <w:tc>
          <w:tcPr>
            <w:tcW w:type="dxa" w:w="58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No session, or a portal token on a staff route.</w:t>
            </w:r>
          </w:p>
        </w:tc>
      </w:tr>
      <w:tr>
        <w:tc>
          <w:tcPr>
            <w:tcW w:type="dxa" w:w="8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403</w:t>
            </w:r>
          </w:p>
        </w:tc>
        <w:tc>
          <w:tcPr>
            <w:tcW w:type="dxa" w:w="2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forbidden</w:t>
            </w:r>
          </w:p>
        </w:tc>
        <w:tc>
          <w:tcPr>
            <w:tcW w:type="dxa" w:w="58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Authenticated but the role or business unit does not permit it.</w:t>
            </w:r>
          </w:p>
        </w:tc>
      </w:tr>
      <w:tr>
        <w:tc>
          <w:tcPr>
            <w:tcW w:type="dxa" w:w="8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403</w:t>
            </w:r>
          </w:p>
        </w:tc>
        <w:tc>
          <w:tcPr>
            <w:tcW w:type="dxa" w:w="2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module_not_entitled</w:t>
            </w:r>
          </w:p>
        </w:tc>
        <w:tc>
          <w:tcPr>
            <w:tcW w:type="dxa" w:w="58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Estimating or Projects entitlement is not live.</w:t>
            </w:r>
          </w:p>
        </w:tc>
      </w:tr>
      <w:tr>
        <w:tc>
          <w:tcPr>
            <w:tcW w:type="dxa" w:w="8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404</w:t>
            </w:r>
          </w:p>
        </w:tc>
        <w:tc>
          <w:tcPr>
            <w:tcW w:type="dxa" w:w="2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not_found</w:t>
            </w:r>
          </w:p>
        </w:tc>
        <w:tc>
          <w:tcPr>
            <w:tcW w:type="dxa" w:w="58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Also returned for cross-tenant reads. Never 403 — that confirms the row exists.</w:t>
            </w:r>
          </w:p>
        </w:tc>
      </w:tr>
      <w:tr>
        <w:tc>
          <w:tcPr>
            <w:tcW w:type="dxa" w:w="8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w:t>
            </w:r>
          </w:p>
        </w:tc>
        <w:tc>
          <w:tcPr>
            <w:tcW w:type="dxa" w:w="2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gate_not_satisfied</w:t>
            </w:r>
          </w:p>
        </w:tc>
        <w:tc>
          <w:tcPr>
            <w:tcW w:type="dxa" w:w="58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Stage advance attempted with checklist items outstanding.</w:t>
            </w:r>
          </w:p>
        </w:tc>
      </w:tr>
      <w:tr>
        <w:tc>
          <w:tcPr>
            <w:tcW w:type="dxa" w:w="8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w:t>
            </w:r>
          </w:p>
        </w:tc>
        <w:tc>
          <w:tcPr>
            <w:tcW w:type="dxa" w:w="2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compliance_blocked</w:t>
            </w:r>
          </w:p>
        </w:tc>
        <w:tc>
          <w:tcPr>
            <w:tcW w:type="dxa" w:w="58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Vendor scheduling blocked by expired or missing document.</w:t>
            </w:r>
          </w:p>
        </w:tc>
      </w:tr>
      <w:tr>
        <w:tc>
          <w:tcPr>
            <w:tcW w:type="dxa" w:w="8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w:t>
            </w:r>
          </w:p>
        </w:tc>
        <w:tc>
          <w:tcPr>
            <w:tcW w:type="dxa" w:w="2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baseline_frozen</w:t>
            </w:r>
          </w:p>
        </w:tc>
        <w:tc>
          <w:tcPr>
            <w:tcW w:type="dxa" w:w="58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Budget edit attempted after the freeze gate was approved.</w:t>
            </w:r>
          </w:p>
        </w:tc>
      </w:tr>
      <w:tr>
        <w:tc>
          <w:tcPr>
            <w:tcW w:type="dxa" w:w="8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w:t>
            </w:r>
          </w:p>
        </w:tc>
        <w:tc>
          <w:tcPr>
            <w:tcW w:type="dxa" w:w="2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draw_already_invoiced</w:t>
            </w:r>
          </w:p>
        </w:tc>
        <w:tc>
          <w:tcPr>
            <w:tcW w:type="dxa" w:w="58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External invoice number already recorded for this draw.</w:t>
            </w:r>
          </w:p>
        </w:tc>
      </w:tr>
      <w:tr>
        <w:tc>
          <w:tcPr>
            <w:tcW w:type="dxa" w:w="8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422</w:t>
            </w:r>
          </w:p>
        </w:tc>
        <w:tc>
          <w:tcPr>
            <w:tcW w:type="dxa" w:w="2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contract_version_unsupported</w:t>
            </w:r>
          </w:p>
        </w:tc>
        <w:tc>
          <w:tcPr>
            <w:tcW w:type="dxa" w:w="58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Estimate import with an unrecognised contract_version.</w:t>
            </w:r>
          </w:p>
        </w:tc>
      </w:tr>
      <w:tr>
        <w:tc>
          <w:tcPr>
            <w:tcW w:type="dxa" w:w="8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429</w:t>
            </w:r>
          </w:p>
        </w:tc>
        <w:tc>
          <w:tcPr>
            <w:tcW w:type="dxa" w:w="2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rate_limited</w:t>
            </w:r>
          </w:p>
        </w:tc>
        <w:tc>
          <w:tcPr>
            <w:tcW w:type="dxa" w:w="58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Portal login, portal upload, or adapter verification.</w:t>
            </w:r>
          </w:p>
        </w:tc>
      </w:tr>
    </w:tbl>
    <w:tbl>
      <w:tblPr>
        <w:tblW w:type="dxa" w:w="9360"/>
        <w:tblBorders>
          <w:top w:val="none"/>
          <w:left w:val="single" w:color="F58220" w:sz="18"/>
          <w:bottom w:val="none"/>
          <w:right w:val="none"/>
          <w:insideH w:val="none"/>
          <w:insideV w:val="none"/>
        </w:tblBorders>
      </w:tblPr>
      <w:tblGrid>
        <w:gridCol w:w="9360"/>
      </w:tblGrid>
      <w:tr>
        <w:tc>
          <w:tcPr>
            <w:tcW w:type="dxa" w:w="9360"/>
            <w:shd w:fill="FDF0E4" w:color="auto" w:val="clear"/>
            <w:tcMar>
              <w:top w:type="dxa" w:w="140"/>
              <w:left w:type="dxa" w:w="180"/>
              <w:bottom w:type="dxa" w:w="140"/>
              <w:right w:type="dxa" w:w="180"/>
            </w:tcMar>
          </w:tcPr>
          <w:p>
            <w:pPr>
              <w:spacing w:after="60"/>
            </w:pPr>
            <w:r>
              <w:rPr>
                <w:rFonts w:ascii="Calibri" w:cs="Calibri" w:eastAsia="Calibri" w:hAnsi="Calibri"/>
                <w:b/>
                <w:bCs/>
                <w:color w:val="1F2933"/>
                <w:sz w:val="21"/>
                <w:szCs w:val="21"/>
              </w:rPr>
              <w:t xml:space="preserve">404 on cross-tenant reads, not 403</w:t>
            </w:r>
          </w:p>
          <w:p>
            <w:pPr>
              <w:spacing w:after="40"/>
            </w:pPr>
            <w:r>
              <w:rPr>
                <w:rFonts w:ascii="Calibri" w:cs="Calibri" w:eastAsia="Calibri" w:hAnsi="Calibri"/>
                <w:color w:val="1F2933"/>
                <w:sz w:val="20"/>
                <w:szCs w:val="20"/>
              </w:rPr>
              <w:t xml:space="preserve">Returning 403 for a row belonging to another tenant confirms the identifier is real. Return 404 and let the RLS predicate produce it naturally — the handler queries, gets no row, and returns not_found without ever knowing whether the row exists elsewhere. This is free if the handler never special-cases tenancy.</w:t>
            </w:r>
          </w:p>
        </w:tc>
      </w:tr>
    </w:tbl>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2. Authorization</w:t>
      </w:r>
    </w:p>
    <w:p>
      <w:pPr>
        <w:pStyle w:val="Heading2"/>
        <w:spacing w:after="100" w:before="240"/>
      </w:pPr>
      <w:r>
        <w:rPr>
          <w:rFonts w:ascii="Calibri" w:cs="Calibri" w:eastAsia="Calibri" w:hAnsi="Calibri"/>
          <w:b/>
          <w:bCs/>
          <w:color w:val="1F2933"/>
          <w:sz w:val="24"/>
          <w:szCs w:val="24"/>
        </w:rPr>
        <w:t xml:space="preserve">2.1 Role capabilities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2760"/>
        <w:gridCol w:w="900"/>
        <w:gridCol w:w="1100"/>
        <w:gridCol w:w="1500"/>
        <w:gridCol w:w="1200"/>
        <w:gridCol w:w="900"/>
        <w:gridCol w:w="1000"/>
      </w:tblGrid>
      <w:tr>
        <w:trPr>
          <w:tblHeader/>
        </w:trPr>
        <w:tc>
          <w:tcPr>
            <w:tcW w:type="dxa" w:w="27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Capability</w:t>
            </w:r>
          </w:p>
        </w:tc>
        <w:tc>
          <w:tcPr>
            <w:tcW w:type="dxa" w:w="9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owner</w:t>
            </w:r>
          </w:p>
        </w:tc>
        <w:tc>
          <w:tcPr>
            <w:tcW w:type="dxa" w:w="11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manager</w:t>
            </w:r>
          </w:p>
        </w:tc>
        <w:tc>
          <w:tcPr>
            <w:tcW w:type="dxa" w:w="15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project_manager</w:t>
            </w:r>
          </w:p>
        </w:tc>
        <w:tc>
          <w:tcPr>
            <w:tcW w:type="dxa" w:w="12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estimator</w:t>
            </w:r>
          </w:p>
        </w:tc>
        <w:tc>
          <w:tcPr>
            <w:tcW w:type="dxa" w:w="9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office</w:t>
            </w:r>
          </w:p>
        </w:tc>
        <w:tc>
          <w:tcPr>
            <w:tcW w:type="dxa" w:w="10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bookkeeper</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Create project</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Edit budget before freeze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Approve gate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per template</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Issue purchase order</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Approve vendor bill</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r>
      <w:tr>
        <w:tc>
          <w:tcPr>
            <w:tcW w:type="dxa" w:w="276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Approve draw</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Record external invoice no.</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Send change order</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Approve CO over threshold</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Manage vendors / compliance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0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Write daily log</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r>
      <w:tr>
        <w:tc>
          <w:tcPr>
            <w:tcW w:type="dxa" w:w="276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View margin</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2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read-only</w:t>
            </w:r>
          </w:p>
        </w:tc>
        <w:tc>
          <w:tcPr>
            <w:tcW w:type="dxa" w:w="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r>
      <w:tr>
        <w:tc>
          <w:tcPr>
            <w:tcW w:type="dxa" w:w="276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Export cost data</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15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2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c>
          <w:tcPr>
            <w:tcW w:type="dxa" w:w="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t>
            </w:r>
          </w:p>
        </w:tc>
        <w:tc>
          <w:tcPr>
            <w:tcW w:type="dxa" w:w="10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Y</w:t>
            </w:r>
          </w:p>
        </w:tc>
      </w:tr>
    </w:tbl>
    <w:p>
      <w:pPr>
        <w:spacing w:after="120" w:before="80" w:line="276"/>
      </w:pPr>
      <w:r>
        <w:rPr>
          <w:rFonts w:ascii="Calibri" w:cs="Calibri" w:eastAsia="Calibri" w:hAnsi="Calibri"/>
          <w:b w:val="false"/>
          <w:bCs w:val="false"/>
          <w:i w:val="false"/>
          <w:iCs w:val="false"/>
          <w:color w:val="1F2933"/>
          <w:sz w:val="21"/>
          <w:szCs w:val="21"/>
        </w:rPr>
        <w:t xml:space="preserve">Gate approver is not hardcoded — it comes from gate_templates.approver_role for that tenant and gate number. The manager column reads "per template" because a tenant may assign a gate to project_manager instead.</w:t>
      </w:r>
    </w:p>
    <w:p>
      <w:pPr>
        <w:pStyle w:val="Heading2"/>
        <w:spacing w:after="100" w:before="240"/>
      </w:pPr>
      <w:r>
        <w:rPr>
          <w:rFonts w:ascii="Calibri" w:cs="Calibri" w:eastAsia="Calibri" w:hAnsi="Calibri"/>
          <w:b/>
          <w:bCs/>
          <w:color w:val="1F2933"/>
          <w:sz w:val="24"/>
          <w:szCs w:val="24"/>
        </w:rPr>
        <w:t xml:space="preserve">2.2 Business unit scoping</w:t>
      </w:r>
    </w:p>
    <w:p>
      <w:pPr>
        <w:spacing w:after="120" w:before="80" w:line="276"/>
      </w:pPr>
      <w:r>
        <w:rPr>
          <w:rFonts w:ascii="Calibri" w:cs="Calibri" w:eastAsia="Calibri" w:hAnsi="Calibri"/>
          <w:b w:val="false"/>
          <w:bCs w:val="false"/>
          <w:i w:val="false"/>
          <w:iCs w:val="false"/>
          <w:color w:val="1F2933"/>
          <w:sz w:val="21"/>
          <w:szCs w:val="21"/>
        </w:rPr>
        <w:t xml:space="preserve">Applied in the API, not RLS, because it is a visibility preference inside one tenant rather than a boundary between tenants.</w:t>
      </w:r>
    </w:p>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function unitFilter(session, settings) {</w:t>
            </w:r>
          </w:p>
          <w:p>
            <w:pPr>
              <w:spacing w:after="0" w:before="0"/>
            </w:pPr>
            <w:r>
              <w:rPr>
                <w:rFonts w:ascii="Consolas" w:cs="Consolas" w:eastAsia="Consolas" w:hAnsi="Consolas"/>
                <w:color w:val="0B2E4F"/>
                <w:sz w:val="17"/>
                <w:szCs w:val="17"/>
              </w:rPr>
              <w:t xml:space="preserve">  if (!settings.enforce_business_unit_scoping) return null;   // no filter</w:t>
            </w:r>
          </w:p>
          <w:p>
            <w:pPr>
              <w:spacing w:after="0" w:before="0"/>
            </w:pPr>
            <w:r>
              <w:rPr>
                <w:rFonts w:ascii="Consolas" w:cs="Consolas" w:eastAsia="Consolas" w:hAnsi="Consolas"/>
                <w:color w:val="0B2E4F"/>
                <w:sz w:val="17"/>
                <w:szCs w:val="17"/>
              </w:rPr>
              <w:t xml:space="preserve">  if (session.staff.business_unit_id == null) return null;    // sees all units</w:t>
            </w:r>
          </w:p>
          <w:p>
            <w:pPr>
              <w:spacing w:after="0" w:before="0"/>
            </w:pPr>
            <w:r>
              <w:rPr>
                <w:rFonts w:ascii="Consolas" w:cs="Consolas" w:eastAsia="Consolas" w:hAnsi="Consolas"/>
                <w:color w:val="0B2E4F"/>
                <w:sz w:val="17"/>
                <w:szCs w:val="17"/>
              </w:rPr>
              <w:t xml:space="preserve">  return session.staff.business_unit_id;</w:t>
            </w:r>
          </w:p>
          <w:p>
            <w:pPr>
              <w:spacing w:after="0" w:before="0"/>
            </w:pPr>
            <w:r>
              <w:rPr>
                <w:rFonts w:ascii="Consolas" w:cs="Consolas" w:eastAsia="Consolas" w:hAnsi="Consolas"/>
                <w:color w:val="0B2E4F"/>
                <w:sz w:val="17"/>
                <w:szCs w:val="17"/>
              </w:rPr>
              <w:t xml:space="preserve">}</w:t>
            </w:r>
          </w:p>
        </w:tc>
      </w:tr>
    </w:tbl>
    <w:p>
      <w:pPr>
        <w:pStyle w:val="ListParagraph"/>
        <w:numPr>
          <w:ilvl w:val="0"/>
          <w:numId w:val="2"/>
        </w:numPr>
        <w:spacing w:after="40" w:before="40" w:line="264"/>
      </w:pPr>
      <w:r>
        <w:rPr>
          <w:rFonts w:ascii="Calibri" w:cs="Calibri" w:eastAsia="Calibri" w:hAnsi="Calibri"/>
          <w:color w:val="1F2933"/>
          <w:sz w:val="21"/>
          <w:szCs w:val="21"/>
        </w:rPr>
        <w:t xml:space="preserve">A null business_unit_id on a staff row means that person sees every unit. Owners and bookkeepers typically have null.</w:t>
      </w:r>
    </w:p>
    <w:p>
      <w:pPr>
        <w:pStyle w:val="ListParagraph"/>
        <w:numPr>
          <w:ilvl w:val="0"/>
          <w:numId w:val="2"/>
        </w:numPr>
        <w:spacing w:after="40" w:before="40" w:line="264"/>
      </w:pPr>
      <w:r>
        <w:rPr>
          <w:rFonts w:ascii="Calibri" w:cs="Calibri" w:eastAsia="Calibri" w:hAnsi="Calibri"/>
          <w:color w:val="1F2933"/>
          <w:sz w:val="21"/>
          <w:szCs w:val="21"/>
        </w:rPr>
        <w:t xml:space="preserve">A project with a null business_unit_id is visible to everyone regardless of the setting. Enforce non-null at creation once scoping is switched on.</w:t>
      </w:r>
    </w:p>
    <w:p>
      <w:pPr>
        <w:pStyle w:val="ListParagraph"/>
        <w:numPr>
          <w:ilvl w:val="0"/>
          <w:numId w:val="2"/>
        </w:numPr>
        <w:spacing w:after="40" w:before="40" w:line="264"/>
      </w:pPr>
      <w:r>
        <w:rPr>
          <w:rFonts w:ascii="Calibri" w:cs="Calibri" w:eastAsia="Calibri" w:hAnsi="Calibri"/>
          <w:color w:val="1F2933"/>
          <w:sz w:val="21"/>
          <w:szCs w:val="21"/>
        </w:rPr>
        <w:t xml:space="preserve">Apply the filter in the list and read handlers, and again on write. A PM must not be able to move a project into a unit they cannot see.</w:t>
      </w:r>
    </w:p>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3. Staff Route Surface</w:t>
      </w:r>
    </w:p>
    <w:p>
      <w:pPr>
        <w:pStyle w:val="Heading2"/>
        <w:spacing w:after="100" w:before="240"/>
      </w:pPr>
      <w:r>
        <w:rPr>
          <w:rFonts w:ascii="Calibri" w:cs="Calibri" w:eastAsia="Calibri" w:hAnsi="Calibri"/>
          <w:b/>
          <w:bCs/>
          <w:color w:val="1F2933"/>
          <w:sz w:val="24"/>
          <w:szCs w:val="24"/>
        </w:rPr>
        <w:t xml:space="preserve">3.1 Projects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3900"/>
        <w:gridCol w:w="2100"/>
        <w:gridCol w:w="3360"/>
      </w:tblGrid>
      <w:tr>
        <w:trPr>
          <w:tblHeader/>
        </w:trPr>
        <w:tc>
          <w:tcPr>
            <w:tcW w:type="dxa" w:w="39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21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c>
          <w:tcPr>
            <w:tcW w:type="dxa" w:w="33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Notes</w:t>
            </w:r>
          </w:p>
        </w:tc>
      </w:tr>
      <w:tr>
        <w:tc>
          <w:tcPr>
            <w:tcW w:type="dxa" w:w="39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w:t>
            </w:r>
          </w:p>
        </w:tc>
        <w:tc>
          <w:tcPr>
            <w:tcW w:type="dxa" w:w="2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List</w:t>
            </w:r>
          </w:p>
        </w:tc>
        <w:tc>
          <w:tcPr>
            <w:tcW w:type="dxa" w:w="33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Filters: stage, business_unit_id, pm_id, q. Unit filter applied.</w:t>
            </w:r>
          </w:p>
        </w:tc>
      </w:tr>
      <w:tr>
        <w:tc>
          <w:tcPr>
            <w:tcW w:type="dxa" w:w="39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w:t>
            </w:r>
          </w:p>
        </w:tc>
        <w:tc>
          <w:tcPr>
            <w:tcW w:type="dxa" w:w="2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w:t>
            </w:r>
          </w:p>
        </w:tc>
        <w:tc>
          <w:tcPr>
            <w:tcW w:type="dxa" w:w="33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Requires estimate_import_id or source_kind=manual</w:t>
            </w:r>
          </w:p>
        </w:tc>
      </w:tr>
      <w:tr>
        <w:tc>
          <w:tcPr>
            <w:tcW w:type="dxa" w:w="39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w:t>
            </w:r>
          </w:p>
        </w:tc>
        <w:tc>
          <w:tcPr>
            <w:tcW w:type="dxa" w:w="2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Detail</w:t>
            </w:r>
          </w:p>
        </w:tc>
        <w:tc>
          <w:tcPr>
            <w:tcW w:type="dxa" w:w="33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Includes gates, permit summary, draw summary</w:t>
            </w:r>
          </w:p>
        </w:tc>
      </w:tr>
      <w:tr>
        <w:tc>
          <w:tcPr>
            <w:tcW w:type="dxa" w:w="39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/projects/:id</w:t>
            </w:r>
          </w:p>
        </w:tc>
        <w:tc>
          <w:tcPr>
            <w:tcW w:type="dxa" w:w="2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Update</w:t>
            </w:r>
          </w:p>
        </w:tc>
        <w:tc>
          <w:tcPr>
            <w:tcW w:type="dxa" w:w="33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target_margin immutable after gate 0 approval</w:t>
            </w:r>
          </w:p>
        </w:tc>
      </w:tr>
      <w:tr>
        <w:tc>
          <w:tcPr>
            <w:tcW w:type="dxa" w:w="39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/projects/:id/cost-position</w:t>
            </w:r>
          </w:p>
        </w:tc>
        <w:tc>
          <w:tcPr>
            <w:tcW w:type="dxa" w:w="2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Budget vs actual</w:t>
            </w:r>
          </w:p>
        </w:tc>
        <w:tc>
          <w:tcPr>
            <w:tcW w:type="dxa" w:w="33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Reads v_cost_position</w:t>
            </w:r>
          </w:p>
        </w:tc>
      </w:tr>
      <w:tr>
        <w:tc>
          <w:tcPr>
            <w:tcW w:type="dxa" w:w="39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/projects/:id/margin</w:t>
            </w:r>
          </w:p>
        </w:tc>
        <w:tc>
          <w:tcPr>
            <w:tcW w:type="dxa" w:w="21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Projected margin</w:t>
            </w:r>
          </w:p>
        </w:tc>
        <w:tc>
          <w:tcPr>
            <w:tcW w:type="dxa" w:w="33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Reads v_project_margin</w:t>
            </w:r>
          </w:p>
        </w:tc>
      </w:tr>
      <w:tr>
        <w:tc>
          <w:tcPr>
            <w:tcW w:type="dxa" w:w="39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/projects/:id/stage</w:t>
            </w:r>
          </w:p>
        </w:tc>
        <w:tc>
          <w:tcPr>
            <w:tcW w:type="dxa" w:w="21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Advance stage</w:t>
            </w:r>
          </w:p>
        </w:tc>
        <w:tc>
          <w:tcPr>
            <w:tcW w:type="dxa" w:w="33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 gate_not_satisfied if the gate is open</w:t>
            </w:r>
          </w:p>
        </w:tc>
      </w:tr>
    </w:tbl>
    <w:p>
      <w:pPr>
        <w:pStyle w:val="Heading3"/>
        <w:spacing w:after="80" w:before="180"/>
      </w:pPr>
      <w:r>
        <w:rPr>
          <w:rFonts w:ascii="Calibri" w:cs="Calibri" w:eastAsia="Calibri" w:hAnsi="Calibri"/>
          <w:b/>
          <w:bCs/>
          <w:color w:val="00539B"/>
          <w:sz w:val="21"/>
          <w:szCs w:val="21"/>
        </w:rPr>
        <w:t xml:space="preserve">POST /projects</w:t>
      </w:r>
    </w:p>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 "project_number": "MHR-2026-0184",</w:t>
            </w:r>
          </w:p>
          <w:p>
            <w:pPr>
              <w:spacing w:after="0" w:before="0"/>
            </w:pPr>
            <w:r>
              <w:rPr>
                <w:rFonts w:ascii="Consolas" w:cs="Consolas" w:eastAsia="Consolas" w:hAnsi="Consolas"/>
                <w:color w:val="0B2E4F"/>
                <w:sz w:val="17"/>
                <w:szCs w:val="17"/>
              </w:rPr>
              <w:t xml:space="preserve">  "name": "Whitfield — Primary Bath",</w:t>
            </w:r>
          </w:p>
          <w:p>
            <w:pPr>
              <w:spacing w:after="0" w:before="0"/>
            </w:pPr>
            <w:r>
              <w:rPr>
                <w:rFonts w:ascii="Consolas" w:cs="Consolas" w:eastAsia="Consolas" w:hAnsi="Consolas"/>
                <w:color w:val="0B2E4F"/>
                <w:sz w:val="17"/>
                <w:szCs w:val="17"/>
              </w:rPr>
              <w:t xml:space="preserve">  "business_unit_id": "…",</w:t>
            </w:r>
          </w:p>
          <w:p>
            <w:pPr>
              <w:spacing w:after="0" w:before="0"/>
            </w:pPr>
            <w:r>
              <w:rPr>
                <w:rFonts w:ascii="Consolas" w:cs="Consolas" w:eastAsia="Consolas" w:hAnsi="Consolas"/>
                <w:color w:val="0B2E4F"/>
                <w:sz w:val="17"/>
                <w:szCs w:val="17"/>
              </w:rPr>
              <w:t xml:space="preserve">  "estimate_import_id": "…",            // or null with source_kind manual</w:t>
            </w:r>
          </w:p>
          <w:p>
            <w:pPr>
              <w:spacing w:after="0" w:before="0"/>
            </w:pPr>
            <w:r>
              <w:rPr>
                <w:rFonts w:ascii="Consolas" w:cs="Consolas" w:eastAsia="Consolas" w:hAnsi="Consolas"/>
                <w:color w:val="0B2E4F"/>
                <w:sz w:val="17"/>
                <w:szCs w:val="17"/>
              </w:rPr>
              <w:t xml:space="preserve">  "external_system_id": "…",            // nullable</w:t>
            </w:r>
          </w:p>
          <w:p>
            <w:pPr>
              <w:spacing w:after="0" w:before="0"/>
            </w:pPr>
            <w:r>
              <w:rPr>
                <w:rFonts w:ascii="Consolas" w:cs="Consolas" w:eastAsia="Consolas" w:hAnsi="Consolas"/>
                <w:color w:val="0B2E4F"/>
                <w:sz w:val="17"/>
                <w:szCs w:val="17"/>
              </w:rPr>
              <w:t xml:space="preserve">  "external_job_id": "118432",          // nullable</w:t>
            </w:r>
          </w:p>
          <w:p>
            <w:pPr>
              <w:spacing w:after="0" w:before="0"/>
            </w:pPr>
            <w:r>
              <w:rPr>
                <w:rFonts w:ascii="Consolas" w:cs="Consolas" w:eastAsia="Consolas" w:hAnsi="Consolas"/>
                <w:color w:val="0B2E4F"/>
                <w:sz w:val="17"/>
                <w:szCs w:val="17"/>
              </w:rPr>
              <w:t xml:space="preserve">  "address_line1": "4412 Grove Avenue",</w:t>
            </w:r>
          </w:p>
          <w:p>
            <w:pPr>
              <w:spacing w:after="0" w:before="0"/>
            </w:pPr>
            <w:r>
              <w:rPr>
                <w:rFonts w:ascii="Consolas" w:cs="Consolas" w:eastAsia="Consolas" w:hAnsi="Consolas"/>
                <w:color w:val="0B2E4F"/>
                <w:sz w:val="17"/>
                <w:szCs w:val="17"/>
              </w:rPr>
              <w:t xml:space="preserve">  "city": "Richmond", "region": "VA", "postal_code": "23221",</w:t>
            </w:r>
          </w:p>
          <w:p>
            <w:pPr>
              <w:spacing w:after="0" w:before="0"/>
            </w:pPr>
            <w:r>
              <w:rPr>
                <w:rFonts w:ascii="Consolas" w:cs="Consolas" w:eastAsia="Consolas" w:hAnsi="Consolas"/>
                <w:color w:val="0B2E4F"/>
                <w:sz w:val="17"/>
                <w:szCs w:val="17"/>
              </w:rPr>
              <w:t xml:space="preserve">  "jurisdiction_id": "…",</w:t>
            </w:r>
          </w:p>
          <w:p>
            <w:pPr>
              <w:spacing w:after="0" w:before="0"/>
            </w:pPr>
            <w:r>
              <w:rPr>
                <w:rFonts w:ascii="Consolas" w:cs="Consolas" w:eastAsia="Consolas" w:hAnsi="Consolas"/>
                <w:color w:val="0B2E4F"/>
                <w:sz w:val="17"/>
                <w:szCs w:val="17"/>
              </w:rPr>
              <w:t xml:space="preserve">  "pm_id": "…", "estimator_id": "…",</w:t>
            </w:r>
          </w:p>
          <w:p>
            <w:pPr>
              <w:spacing w:after="0" w:before="0"/>
            </w:pPr>
            <w:r>
              <w:rPr>
                <w:rFonts w:ascii="Consolas" w:cs="Consolas" w:eastAsia="Consolas" w:hAnsi="Consolas"/>
                <w:color w:val="0B2E4F"/>
                <w:sz w:val="17"/>
                <w:szCs w:val="17"/>
              </w:rPr>
              <w:t xml:space="preserve">  "contract_value": 41800.00, "currency": "USD",</w:t>
            </w:r>
          </w:p>
          <w:p>
            <w:pPr>
              <w:spacing w:after="0" w:before="0"/>
            </w:pPr>
            <w:r>
              <w:rPr>
                <w:rFonts w:ascii="Consolas" w:cs="Consolas" w:eastAsia="Consolas" w:hAnsi="Consolas"/>
                <w:color w:val="0B2E4F"/>
                <w:sz w:val="17"/>
                <w:szCs w:val="17"/>
              </w:rPr>
              <w:t xml:space="preserve">  "target_margin": 0.38 }</w:t>
            </w:r>
          </w:p>
        </w:tc>
      </w:tr>
    </w:tbl>
    <w:p>
      <w:pPr>
        <w:spacing w:after="120" w:before="80" w:line="276"/>
      </w:pPr>
      <w:r>
        <w:rPr>
          <w:rFonts w:ascii="Calibri" w:cs="Calibri" w:eastAsia="Calibri" w:hAnsi="Calibri"/>
          <w:b w:val="false"/>
          <w:bCs w:val="false"/>
          <w:i w:val="false"/>
          <w:iCs w:val="false"/>
          <w:color w:val="1F2933"/>
          <w:sz w:val="21"/>
          <w:szCs w:val="21"/>
        </w:rPr>
        <w:t xml:space="preserve">On create the server seeds stage_gates from gate_templates, budget_lines from the estimate import if present, and a draw schedule from the tenant default. All in one transaction — a project that exists without its gates is worse than no project.</w:t>
      </w:r>
    </w:p>
    <w:p>
      <w:pPr>
        <w:pStyle w:val="Heading2"/>
        <w:spacing w:after="100" w:before="240"/>
      </w:pPr>
      <w:r>
        <w:rPr>
          <w:rFonts w:ascii="Calibri" w:cs="Calibri" w:eastAsia="Calibri" w:hAnsi="Calibri"/>
          <w:b/>
          <w:bCs/>
          <w:color w:val="1F2933"/>
          <w:sz w:val="24"/>
          <w:szCs w:val="24"/>
        </w:rPr>
        <w:t xml:space="preserve">3.2 Gates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700"/>
        <w:gridCol w:w="4660"/>
      </w:tblGrid>
      <w:tr>
        <w:trPr>
          <w:tblHeader/>
        </w:trPr>
        <w:tc>
          <w:tcPr>
            <w:tcW w:type="dxa" w:w="47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46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r>
      <w:tr>
        <w:tc>
          <w:tcPr>
            <w:tcW w:type="dxa" w:w="4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/projects/:id/gates</w:t>
            </w:r>
          </w:p>
        </w:tc>
        <w:tc>
          <w:tcPr>
            <w:tcW w:type="dxa" w:w="46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All gates with checklist state</w:t>
            </w:r>
          </w:p>
        </w:tc>
      </w:tr>
      <w:tr>
        <w:tc>
          <w:tcPr>
            <w:tcW w:type="dxa" w:w="4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/projects/:id/gates/:n/checklist</w:t>
            </w:r>
          </w:p>
        </w:tc>
        <w:tc>
          <w:tcPr>
            <w:tcW w:type="dxa" w:w="46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Tick or untick an item</w:t>
            </w:r>
          </w:p>
        </w:tc>
      </w:tr>
      <w:tr>
        <w:tc>
          <w:tcPr>
            <w:tcW w:type="dxa" w:w="47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/projects/:id/gates/:n/approve</w:t>
            </w:r>
          </w:p>
        </w:tc>
        <w:tc>
          <w:tcPr>
            <w:tcW w:type="dxa" w:w="46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Approve. Role must match gate_templates.approver_role</w:t>
            </w:r>
          </w:p>
        </w:tc>
      </w:tr>
      <w:tr>
        <w:tc>
          <w:tcPr>
            <w:tcW w:type="dxa" w:w="47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/projects/:id/gates/:n/reject</w:t>
            </w:r>
          </w:p>
        </w:tc>
        <w:tc>
          <w:tcPr>
            <w:tcW w:type="dxa" w:w="46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Reject with a required note</w:t>
            </w:r>
          </w:p>
        </w:tc>
      </w:tr>
    </w:tbl>
    <w:p>
      <w:pPr>
        <w:spacing w:after="120" w:before="80" w:line="276"/>
      </w:pPr>
      <w:r>
        <w:rPr>
          <w:rFonts w:ascii="Calibri" w:cs="Calibri" w:eastAsia="Calibri" w:hAnsi="Calibri"/>
          <w:b w:val="false"/>
          <w:bCs w:val="false"/>
          <w:i w:val="false"/>
          <w:iCs w:val="false"/>
          <w:color w:val="1F2933"/>
          <w:sz w:val="21"/>
          <w:szCs w:val="21"/>
        </w:rPr>
        <w:t xml:space="preserve">Approving the gate flagged freezes_baseline copies budget_amount to baseline_amount via database trigger. The API does not do this; do not duplicate it in application code.</w:t>
      </w:r>
    </w:p>
    <w:p>
      <w:pPr>
        <w:pStyle w:val="Heading2"/>
        <w:spacing w:after="100" w:before="240"/>
      </w:pPr>
      <w:r>
        <w:rPr>
          <w:rFonts w:ascii="Calibri" w:cs="Calibri" w:eastAsia="Calibri" w:hAnsi="Calibri"/>
          <w:b/>
          <w:bCs/>
          <w:color w:val="1F2933"/>
          <w:sz w:val="24"/>
          <w:szCs w:val="24"/>
        </w:rPr>
        <w:t xml:space="preserve">3.3 Budget and cost</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000"/>
        <w:gridCol w:w="2300"/>
        <w:gridCol w:w="3060"/>
      </w:tblGrid>
      <w:tr>
        <w:trPr>
          <w:tblHeader/>
        </w:trPr>
        <w:tc>
          <w:tcPr>
            <w:tcW w:type="dxa" w:w="40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2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c>
          <w:tcPr>
            <w:tcW w:type="dxa" w:w="3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Notes</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/projects/:id/budget</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Budget lines</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/projects/:id/budget</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Add line</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 baseline_frozen after freeze gate</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/projects/:id/budget/:lineId</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Edit line</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Same 409</w:t>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/projects/:id/exceptions</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Budget, permit, draw, log exceptions</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Reads the four exception views</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/projects/:id/export/cost</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CSV, budget vs actual by code</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For post-mortem and rate calibration</w:t>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/export/vendor-bills</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CSV, approved bills by COGS account</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The accounting handoff. No ledger posting.</w:t>
            </w:r>
          </w:p>
        </w:tc>
      </w:tr>
    </w:tbl>
    <w:p>
      <w:r>
        <w:br w:type="page"/>
      </w:r>
    </w:p>
    <w:p>
      <w:pPr>
        <w:pStyle w:val="Heading2"/>
        <w:spacing w:after="100" w:before="240"/>
      </w:pPr>
      <w:r>
        <w:rPr>
          <w:rFonts w:ascii="Calibri" w:cs="Calibri" w:eastAsia="Calibri" w:hAnsi="Calibri"/>
          <w:b/>
          <w:bCs/>
          <w:color w:val="1F2933"/>
          <w:sz w:val="24"/>
          <w:szCs w:val="24"/>
        </w:rPr>
        <w:t xml:space="preserve">3.4 Vendors and compliance</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300"/>
        <w:gridCol w:w="5060"/>
      </w:tblGrid>
      <w:tr>
        <w:trPr>
          <w:tblHeader/>
        </w:trPr>
        <w:tc>
          <w:tcPr>
            <w:tcW w:type="dxa" w:w="4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5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/vendors</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List with eligibility state from v_vendor_eligibility</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/vendors</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 active defaults false until verification completes</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/vendors/:id</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Detail with document list and expiry states</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/vendors/:id/documents</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Upload. Returns a signed PUT URL; the file never transits the API</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/vendors/:id/documents/:docId</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Record verification: verified_by, verified_at, verify_method</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/vendors/:id/activate</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 if any required document is missing or expired</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/vendors/:id/portal-invite</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Single-use, time-limited token</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/vendors/expiring</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warn_days window, drives the weekly exception report</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/vendors/:id/scores</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Post-project scorecard</w:t>
            </w:r>
          </w:p>
        </w:tc>
      </w:tr>
    </w:tbl>
    <w:p>
      <w:pPr>
        <w:pStyle w:val="Heading2"/>
        <w:spacing w:after="100" w:before="240"/>
      </w:pPr>
      <w:r>
        <w:rPr>
          <w:rFonts w:ascii="Calibri" w:cs="Calibri" w:eastAsia="Calibri" w:hAnsi="Calibri"/>
          <w:b/>
          <w:bCs/>
          <w:color w:val="1F2933"/>
          <w:sz w:val="24"/>
          <w:szCs w:val="24"/>
        </w:rPr>
        <w:t xml:space="preserve">3.5 Purchase orders, bills, change orders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000"/>
        <w:gridCol w:w="2300"/>
        <w:gridCol w:w="3060"/>
      </w:tblGrid>
      <w:tr>
        <w:trPr>
          <w:tblHeader/>
        </w:trPr>
        <w:tc>
          <w:tcPr>
            <w:tcW w:type="dxa" w:w="40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2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c>
          <w:tcPr>
            <w:tcW w:type="dxa" w:w="3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Notes</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/projects/:id/purchase-orders</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Issue PO</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Vendor must be eligible</w:t>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/purchase-orders/:id</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Amend or void</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Void only when no approved bill exists</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/purchase-orders/:id/bills</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Record vendor bill</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Warn when cumulative exceeds PO</w:t>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/bills/:id/approve</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Approve for payment</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/projects/:id/change-orders</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 priced CO</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/change-orders/:id/send</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Send for customer approval</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/change-orders/:id/approve</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Record written customer approval</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Updates budget and schedule impact</w:t>
            </w:r>
          </w:p>
        </w:tc>
      </w:tr>
    </w:tbl>
    <w:p>
      <w:pPr>
        <w:pStyle w:val="Heading2"/>
        <w:spacing w:after="100" w:before="240"/>
      </w:pPr>
      <w:r>
        <w:rPr>
          <w:rFonts w:ascii="Calibri" w:cs="Calibri" w:eastAsia="Calibri" w:hAnsi="Calibri"/>
          <w:b/>
          <w:bCs/>
          <w:color w:val="1F2933"/>
          <w:sz w:val="24"/>
          <w:szCs w:val="24"/>
        </w:rPr>
        <w:t xml:space="preserve">3.6 Draws — the revenue control</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300"/>
        <w:gridCol w:w="5060"/>
      </w:tblGrid>
      <w:tr>
        <w:trPr>
          <w:tblHeader/>
        </w:trPr>
        <w:tc>
          <w:tcPr>
            <w:tcW w:type="dxa" w:w="4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5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/projects/:id/draws</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Draw schedule with invoice state</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/projects/:id/draws</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 or replace the schedule</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/draws/:id/earn</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Mark the milestone reached</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/draws/:id/approve</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Approve the amount. Manager or owner only.</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/draws/:id/external-invoice</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Record the invoice number from the revenue system</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/draws/:id/verify</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Ask the adapter to confirm the invoice exists</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/exceptions/draws</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Approved draws with no invoice number recorded</w:t>
            </w:r>
          </w:p>
        </w:tc>
      </w:tr>
    </w:tbl>
    <w:p>
      <w:pPr>
        <w:pStyle w:val="Heading3"/>
        <w:spacing w:after="80" w:before="180"/>
      </w:pPr>
      <w:r>
        <w:rPr>
          <w:rFonts w:ascii="Calibri" w:cs="Calibri" w:eastAsia="Calibri" w:hAnsi="Calibri"/>
          <w:b/>
          <w:bCs/>
          <w:color w:val="00539B"/>
          <w:sz w:val="21"/>
          <w:szCs w:val="21"/>
        </w:rPr>
        <w:t xml:space="preserve">POST /draws/:id/external-invoice</w:t>
      </w:r>
    </w:p>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request:  { "external_invoice_number": "118432-3" }</w:t>
            </w:r>
          </w:p>
          <w:p>
            <w:pPr>
              <w:spacing w:after="0" w:before="0"/>
            </w:pPr>
            <w:r>
              <w:rPr>
                <w:rFonts w:ascii="Consolas" w:cs="Consolas" w:eastAsia="Consolas" w:hAnsi="Consolas"/>
                <w:color w:val="0B2E4F"/>
                <w:sz w:val="17"/>
                <w:szCs w:val="17"/>
              </w:rPr>
              <w:t xml:space="preserve"/>
            </w:r>
          </w:p>
          <w:p>
            <w:pPr>
              <w:spacing w:after="0" w:before="0"/>
            </w:pPr>
            <w:r>
              <w:rPr>
                <w:rFonts w:ascii="Consolas" w:cs="Consolas" w:eastAsia="Consolas" w:hAnsi="Consolas"/>
                <w:color w:val="0B2E4F"/>
                <w:sz w:val="17"/>
                <w:szCs w:val="17"/>
              </w:rPr>
              <w:t xml:space="preserve">response: { "data": { "id": "…", "status": "invoiced",</w:t>
            </w:r>
          </w:p>
          <w:p>
            <w:pPr>
              <w:spacing w:after="0" w:before="0"/>
            </w:pPr>
            <w:r>
              <w:rPr>
                <w:rFonts w:ascii="Consolas" w:cs="Consolas" w:eastAsia="Consolas" w:hAnsi="Consolas"/>
                <w:color w:val="0B2E4F"/>
                <w:sz w:val="17"/>
                <w:szCs w:val="17"/>
              </w:rPr>
              <w:t xml:space="preserve">                      "external_invoice_number": "118432-3",</w:t>
            </w:r>
          </w:p>
          <w:p>
            <w:pPr>
              <w:spacing w:after="0" w:before="0"/>
            </w:pPr>
            <w:r>
              <w:rPr>
                <w:rFonts w:ascii="Consolas" w:cs="Consolas" w:eastAsia="Consolas" w:hAnsi="Consolas"/>
                <w:color w:val="0B2E4F"/>
                <w:sz w:val="17"/>
                <w:szCs w:val="17"/>
              </w:rPr>
              <w:t xml:space="preserve">                      "external_invoice_recorded_at": "2026-08-05T14:22:11Z",</w:t>
            </w:r>
          </w:p>
          <w:p>
            <w:pPr>
              <w:spacing w:after="0" w:before="0"/>
            </w:pPr>
            <w:r>
              <w:rPr>
                <w:rFonts w:ascii="Consolas" w:cs="Consolas" w:eastAsia="Consolas" w:hAnsi="Consolas"/>
                <w:color w:val="0B2E4F"/>
                <w:sz w:val="17"/>
                <w:szCs w:val="17"/>
              </w:rPr>
              <w:t xml:space="preserve">                      "external_invoice_verified_at": null,</w:t>
            </w:r>
          </w:p>
          <w:p>
            <w:pPr>
              <w:spacing w:after="0" w:before="0"/>
            </w:pPr>
            <w:r>
              <w:rPr>
                <w:rFonts w:ascii="Consolas" w:cs="Consolas" w:eastAsia="Consolas" w:hAnsi="Consolas"/>
                <w:color w:val="0B2E4F"/>
                <w:sz w:val="17"/>
                <w:szCs w:val="17"/>
              </w:rPr>
              <w:t xml:space="preserve">                      "verification_available": true } }</w:t>
            </w:r>
          </w:p>
        </w:tc>
      </w:tr>
    </w:tbl>
    <w:p>
      <w:pPr>
        <w:spacing w:after="120" w:before="80" w:line="276"/>
      </w:pPr>
      <w:r>
        <w:rPr>
          <w:rFonts w:ascii="Calibri" w:cs="Calibri" w:eastAsia="Calibri" w:hAnsi="Calibri"/>
          <w:b w:val="false"/>
          <w:bCs w:val="false"/>
          <w:i w:val="false"/>
          <w:iCs w:val="false"/>
          <w:color w:val="1F2933"/>
          <w:sz w:val="21"/>
          <w:szCs w:val="21"/>
        </w:rPr>
        <w:t xml:space="preserve">recorded_at and status are set by database trigger. verified_at is deliberately null: recording is a human assertion, verification is a separate call. verification_available reflects external_systems.verify_invoices, so a manual-adapter tenant sees false and the client hides the verify action rather than offering something that cannot work.</w:t>
      </w:r>
    </w:p>
    <w:p>
      <w:pPr>
        <w:pStyle w:val="Heading3"/>
        <w:spacing w:after="80" w:before="180"/>
      </w:pPr>
      <w:r>
        <w:rPr>
          <w:rFonts w:ascii="Calibri" w:cs="Calibri" w:eastAsia="Calibri" w:hAnsi="Calibri"/>
          <w:b/>
          <w:bCs/>
          <w:color w:val="00539B"/>
          <w:sz w:val="21"/>
          <w:szCs w:val="21"/>
        </w:rPr>
        <w:t xml:space="preserve">POST /draws/:id/verify</w:t>
      </w:r>
    </w:p>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 "data": { "verified": true,</w:t>
            </w:r>
          </w:p>
          <w:p>
            <w:pPr>
              <w:spacing w:after="0" w:before="0"/>
            </w:pPr>
            <w:r>
              <w:rPr>
                <w:rFonts w:ascii="Consolas" w:cs="Consolas" w:eastAsia="Consolas" w:hAnsi="Consolas"/>
                <w:color w:val="0B2E4F"/>
                <w:sz w:val="17"/>
                <w:szCs w:val="17"/>
              </w:rPr>
              <w:t xml:space="preserve">            "checks": { "invoice_found": true,</w:t>
            </w:r>
          </w:p>
          <w:p>
            <w:pPr>
              <w:spacing w:after="0" w:before="0"/>
            </w:pPr>
            <w:r>
              <w:rPr>
                <w:rFonts w:ascii="Consolas" w:cs="Consolas" w:eastAsia="Consolas" w:hAnsi="Consolas"/>
                <w:color w:val="0B2E4F"/>
                <w:sz w:val="17"/>
                <w:szCs w:val="17"/>
              </w:rPr>
              <w:t xml:space="preserve">                        "job_matches": true,</w:t>
            </w:r>
          </w:p>
          <w:p>
            <w:pPr>
              <w:spacing w:after="0" w:before="0"/>
            </w:pPr>
            <w:r>
              <w:rPr>
                <w:rFonts w:ascii="Consolas" w:cs="Consolas" w:eastAsia="Consolas" w:hAnsi="Consolas"/>
                <w:color w:val="0B2E4F"/>
                <w:sz w:val="17"/>
                <w:szCs w:val="17"/>
              </w:rPr>
              <w:t xml:space="preserve">                        "amount_matches": false },</w:t>
            </w:r>
          </w:p>
          <w:p>
            <w:pPr>
              <w:spacing w:after="0" w:before="0"/>
            </w:pPr>
            <w:r>
              <w:rPr>
                <w:rFonts w:ascii="Consolas" w:cs="Consolas" w:eastAsia="Consolas" w:hAnsi="Consolas"/>
                <w:color w:val="0B2E4F"/>
                <w:sz w:val="17"/>
                <w:szCs w:val="17"/>
              </w:rPr>
              <w:t xml:space="preserve">            "external_amount": 8360.00, "draw_amount": 8300.00 } }</w:t>
            </w:r>
          </w:p>
        </w:tc>
      </w:tr>
    </w:tbl>
    <w:p>
      <w:pPr>
        <w:spacing w:after="120" w:before="80" w:line="276"/>
      </w:pPr>
      <w:r>
        <w:rPr>
          <w:rFonts w:ascii="Calibri" w:cs="Calibri" w:eastAsia="Calibri" w:hAnsi="Calibri"/>
          <w:b w:val="false"/>
          <w:bCs w:val="false"/>
          <w:i w:val="false"/>
          <w:iCs w:val="false"/>
          <w:color w:val="1F2933"/>
          <w:sz w:val="21"/>
          <w:szCs w:val="21"/>
        </w:rPr>
        <w:t xml:space="preserve">A failed check is a 200 with verified false, not an error. The mismatch is information the Office Administrator needs, not a system fault. Only set verified_at when every check passes.</w:t>
      </w:r>
    </w:p>
    <w:p>
      <w:r>
        <w:br w:type="page"/>
      </w:r>
    </w:p>
    <w:p>
      <w:pPr>
        <w:pStyle w:val="Heading2"/>
        <w:spacing w:after="100" w:before="240"/>
      </w:pPr>
      <w:r>
        <w:rPr>
          <w:rFonts w:ascii="Calibri" w:cs="Calibri" w:eastAsia="Calibri" w:hAnsi="Calibri"/>
          <w:b/>
          <w:bCs/>
          <w:color w:val="1F2933"/>
          <w:sz w:val="24"/>
          <w:szCs w:val="24"/>
        </w:rPr>
        <w:t xml:space="preserve">3.7 Permits, schedule, daily logs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000"/>
        <w:gridCol w:w="2300"/>
        <w:gridCol w:w="3060"/>
      </w:tblGrid>
      <w:tr>
        <w:trPr>
          <w:tblHeader/>
        </w:trPr>
        <w:tc>
          <w:tcPr>
            <w:tcW w:type="dxa" w:w="40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2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c>
          <w:tcPr>
            <w:tcW w:type="dxa" w:w="3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Notes</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/projects/:id/permits</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 permit</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Seeds milestones from the tenant template</w:t>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/permits/:id</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Record number, issue date, fee</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/permit-milestones/:id</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Complete or fail a milestone</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Failed inspection is a status, not a delete</w:t>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/exceptions/permits</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Overdue milestones</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Reads v_permit_exceptions</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/projects/:id/schedule</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Schedule items</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/projects/:id/schedule</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 item</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409 compliance_blocked on confirm with an ineligible vendor</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PATCH /schedule/:id</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Move or confirm</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r>
        <w:tc>
          <w:tcPr>
            <w:tcW w:type="dxa" w:w="40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/projects/:id/daily-logs</w:t>
            </w:r>
          </w:p>
        </w:tc>
        <w:tc>
          <w:tcPr>
            <w:tcW w:type="dxa" w:w="2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Create log</w:t>
            </w:r>
          </w:p>
        </w:tc>
        <w:tc>
          <w:tcPr>
            <w:tcW w:type="dxa" w:w="3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One per project per date; 409 on duplicate</w:t>
            </w:r>
          </w:p>
        </w:tc>
      </w:tr>
      <w:tr>
        <w:tc>
          <w:tcPr>
            <w:tcW w:type="dxa" w:w="40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/exceptions/daily-logs</w:t>
            </w:r>
          </w:p>
        </w:tc>
        <w:tc>
          <w:tcPr>
            <w:tcW w:type="dxa" w:w="23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Active projects missing yesterday’s log</w:t>
            </w:r>
          </w:p>
        </w:tc>
        <w:tc>
          <w:tcPr>
            <w:tcW w:type="dxa" w:w="3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
            </w:r>
          </w:p>
        </w:tc>
      </w:tr>
    </w:tbl>
    <w:p>
      <w:pPr>
        <w:pStyle w:val="Heading2"/>
        <w:spacing w:after="100" w:before="240"/>
      </w:pPr>
      <w:r>
        <w:rPr>
          <w:rFonts w:ascii="Calibri" w:cs="Calibri" w:eastAsia="Calibri" w:hAnsi="Calibri"/>
          <w:b/>
          <w:bCs/>
          <w:color w:val="1F2933"/>
          <w:sz w:val="24"/>
          <w:szCs w:val="24"/>
        </w:rPr>
        <w:t xml:space="preserve">3.8 Estimate imports — the module boundary</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300"/>
        <w:gridCol w:w="5060"/>
      </w:tblGrid>
      <w:tr>
        <w:trPr>
          <w:tblHeader/>
        </w:trPr>
        <w:tc>
          <w:tcPr>
            <w:tcW w:type="dxa" w:w="4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5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/estimate-imports</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Receive a snapshot from estimating or an external source</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/estimate-imports/:id</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Read the stored payload</w:t>
            </w:r>
          </w:p>
        </w:tc>
      </w:tr>
    </w:tbl>
    <w:tbl>
      <w:tblPr>
        <w:tblW w:type="dxa" w:w="9360"/>
        <w:tblBorders>
          <w:top w:val="none"/>
          <w:left w:val="single" w:color="C9D4E0" w:sz="10"/>
          <w:bottom w:val="none"/>
          <w:right w:val="none"/>
          <w:insideH w:val="none"/>
          <w:insideV w:val="none"/>
        </w:tblBorders>
      </w:tblPr>
      <w:tblGrid>
        <w:gridCol w:w="9360"/>
      </w:tblGrid>
      <w:tr>
        <w:tc>
          <w:tcPr>
            <w:tcW w:type="dxa" w:w="9360"/>
            <w:shd w:fill="F4F6F4" w:color="auto" w:val="clear"/>
            <w:tcMar>
              <w:top w:type="dxa" w:w="110"/>
              <w:left w:type="dxa" w:w="150"/>
              <w:bottom w:type="dxa" w:w="110"/>
              <w:right w:type="dxa" w:w="120"/>
            </w:tcMar>
          </w:tcPr>
          <w:p>
            <w:pPr>
              <w:spacing w:after="0" w:before="0"/>
            </w:pPr>
            <w:r>
              <w:rPr>
                <w:rFonts w:ascii="Consolas" w:cs="Consolas" w:eastAsia="Consolas" w:hAnsi="Consolas"/>
                <w:color w:val="0B2E4F"/>
                <w:sz w:val="17"/>
                <w:szCs w:val="17"/>
              </w:rPr>
              <w:t xml:space="preserve">{ "contract_version": "estimate.v1",</w:t>
            </w:r>
          </w:p>
          <w:p>
            <w:pPr>
              <w:spacing w:after="0" w:before="0"/>
            </w:pPr>
            <w:r>
              <w:rPr>
                <w:rFonts w:ascii="Consolas" w:cs="Consolas" w:eastAsia="Consolas" w:hAnsi="Consolas"/>
                <w:color w:val="0B2E4F"/>
                <w:sz w:val="17"/>
                <w:szCs w:val="17"/>
              </w:rPr>
              <w:t xml:space="preserve">  "source_kind": "journeyman_estimate",   // | "external" | "manual"</w:t>
            </w:r>
          </w:p>
          <w:p>
            <w:pPr>
              <w:spacing w:after="0" w:before="0"/>
            </w:pPr>
            <w:r>
              <w:rPr>
                <w:rFonts w:ascii="Consolas" w:cs="Consolas" w:eastAsia="Consolas" w:hAnsi="Consolas"/>
                <w:color w:val="0B2E4F"/>
                <w:sz w:val="17"/>
                <w:szCs w:val="17"/>
              </w:rPr>
              <w:t xml:space="preserve">  "source_key": "&lt;opaque id&gt;",</w:t>
            </w:r>
          </w:p>
          <w:p>
            <w:pPr>
              <w:spacing w:after="0" w:before="0"/>
            </w:pPr>
            <w:r>
              <w:rPr>
                <w:rFonts w:ascii="Consolas" w:cs="Consolas" w:eastAsia="Consolas" w:hAnsi="Consolas"/>
                <w:color w:val="0B2E4F"/>
                <w:sz w:val="17"/>
                <w:szCs w:val="17"/>
              </w:rPr>
              <w:t xml:space="preserve">  "payload": {</w:t>
            </w:r>
          </w:p>
          <w:p>
            <w:pPr>
              <w:spacing w:after="0" w:before="0"/>
            </w:pPr>
            <w:r>
              <w:rPr>
                <w:rFonts w:ascii="Consolas" w:cs="Consolas" w:eastAsia="Consolas" w:hAnsi="Consolas"/>
                <w:color w:val="0B2E4F"/>
                <w:sz w:val="17"/>
                <w:szCs w:val="17"/>
              </w:rPr>
              <w:t xml:space="preserve">    "sold_price": 41800.00,</w:t>
            </w:r>
          </w:p>
          <w:p>
            <w:pPr>
              <w:spacing w:after="0" w:before="0"/>
            </w:pPr>
            <w:r>
              <w:rPr>
                <w:rFonts w:ascii="Consolas" w:cs="Consolas" w:eastAsia="Consolas" w:hAnsi="Consolas"/>
                <w:color w:val="0B2E4F"/>
                <w:sz w:val="17"/>
                <w:szCs w:val="17"/>
              </w:rPr>
              <w:t xml:space="preserve">    "currency": "USD",</w:t>
            </w:r>
          </w:p>
          <w:p>
            <w:pPr>
              <w:spacing w:after="0" w:before="0"/>
            </w:pPr>
            <w:r>
              <w:rPr>
                <w:rFonts w:ascii="Consolas" w:cs="Consolas" w:eastAsia="Consolas" w:hAnsi="Consolas"/>
                <w:color w:val="0B2E4F"/>
                <w:sz w:val="17"/>
                <w:szCs w:val="17"/>
              </w:rPr>
              <w:t xml:space="preserve">    "lines": [ { "code": "1120",</w:t>
            </w:r>
          </w:p>
          <w:p>
            <w:pPr>
              <w:spacing w:after="0" w:before="0"/>
            </w:pPr>
            <w:r>
              <w:rPr>
                <w:rFonts w:ascii="Consolas" w:cs="Consolas" w:eastAsia="Consolas" w:hAnsi="Consolas"/>
                <w:color w:val="0B2E4F"/>
                <w:sz w:val="17"/>
                <w:szCs w:val="17"/>
              </w:rPr>
              <w:t xml:space="preserve">                 "description": "Tile setting subcontract",</w:t>
            </w:r>
          </w:p>
          <w:p>
            <w:pPr>
              <w:spacing w:after="0" w:before="0"/>
            </w:pPr>
            <w:r>
              <w:rPr>
                <w:rFonts w:ascii="Consolas" w:cs="Consolas" w:eastAsia="Consolas" w:hAnsi="Consolas"/>
                <w:color w:val="0B2E4F"/>
                <w:sz w:val="17"/>
                <w:szCs w:val="17"/>
              </w:rPr>
              <w:t xml:space="preserve">                 "quantity": 1, "unit": "ls",</w:t>
            </w:r>
          </w:p>
          <w:p>
            <w:pPr>
              <w:spacing w:after="0" w:before="0"/>
            </w:pPr>
            <w:r>
              <w:rPr>
                <w:rFonts w:ascii="Consolas" w:cs="Consolas" w:eastAsia="Consolas" w:hAnsi="Consolas"/>
                <w:color w:val="0B2E4F"/>
                <w:sz w:val="17"/>
                <w:szCs w:val="17"/>
              </w:rPr>
              <w:t xml:space="preserve">                 "cost_type": "S", "amount": 5200.00 } ] } }</w:t>
            </w:r>
          </w:p>
        </w:tc>
      </w:tr>
    </w:tbl>
    <w:p>
      <w:pPr>
        <w:pStyle w:val="ListParagraph"/>
        <w:numPr>
          <w:ilvl w:val="0"/>
          <w:numId w:val="2"/>
        </w:numPr>
        <w:spacing w:after="40" w:before="40" w:line="264"/>
      </w:pPr>
      <w:r>
        <w:rPr>
          <w:rFonts w:ascii="Calibri" w:cs="Calibri" w:eastAsia="Calibri" w:hAnsi="Calibri"/>
          <w:color w:val="1F2933"/>
          <w:sz w:val="21"/>
          <w:szCs w:val="21"/>
        </w:rPr>
        <w:t xml:space="preserve">Immutable once stored. A revised estimate is a new import with a new source_key.</w:t>
      </w:r>
    </w:p>
    <w:p>
      <w:pPr>
        <w:pStyle w:val="ListParagraph"/>
        <w:numPr>
          <w:ilvl w:val="0"/>
          <w:numId w:val="2"/>
        </w:numPr>
        <w:spacing w:after="40" w:before="40" w:line="264"/>
      </w:pPr>
      <w:r>
        <w:rPr>
          <w:rFonts w:ascii="Calibri" w:cs="Calibri" w:eastAsia="Calibri" w:hAnsi="Calibri"/>
          <w:color w:val="1F2933"/>
          <w:sz w:val="21"/>
          <w:szCs w:val="21"/>
        </w:rPr>
        <w:t xml:space="preserve">Unknown contract_version returns 422, never a best-effort parse.</w:t>
      </w:r>
    </w:p>
    <w:p>
      <w:pPr>
        <w:pStyle w:val="ListParagraph"/>
        <w:numPr>
          <w:ilvl w:val="0"/>
          <w:numId w:val="2"/>
        </w:numPr>
        <w:spacing w:after="40" w:before="40" w:line="264"/>
      </w:pPr>
      <w:r>
        <w:rPr>
          <w:rFonts w:ascii="Calibri" w:cs="Calibri" w:eastAsia="Calibri" w:hAnsi="Calibri"/>
          <w:color w:val="1F2933"/>
          <w:sz w:val="21"/>
          <w:szCs w:val="21"/>
        </w:rPr>
        <w:t xml:space="preserve">An unrecognised line code is a validation error, not a silently dropped line. Silent drops become a budget that does not equal the sold price and nobody knows why.</w:t>
      </w:r>
    </w:p>
    <w:p>
      <w:pPr>
        <w:pStyle w:val="ListParagraph"/>
        <w:numPr>
          <w:ilvl w:val="0"/>
          <w:numId w:val="2"/>
        </w:numPr>
        <w:spacing w:after="40" w:before="40" w:line="264"/>
      </w:pPr>
      <w:r>
        <w:rPr>
          <w:rFonts w:ascii="Calibri" w:cs="Calibri" w:eastAsia="Calibri" w:hAnsi="Calibri"/>
          <w:color w:val="1F2933"/>
          <w:sz w:val="21"/>
          <w:szCs w:val="21"/>
        </w:rPr>
        <w:t xml:space="preserve">This handler must not query the estimating schema. If it needs a field the payload lacks, the contract changes — the handler does not reach across.</w:t>
      </w:r>
    </w:p>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4. Portal Route Surface</w:t>
      </w:r>
    </w:p>
    <w:p>
      <w:pPr>
        <w:spacing w:after="120" w:before="80" w:line="276"/>
      </w:pPr>
      <w:r>
        <w:rPr>
          <w:rFonts w:ascii="Calibri" w:cs="Calibri" w:eastAsia="Calibri" w:hAnsi="Calibri"/>
          <w:b w:val="false"/>
          <w:bCs w:val="false"/>
          <w:i w:val="false"/>
          <w:iCs w:val="false"/>
          <w:color w:val="1F2933"/>
          <w:sz w:val="21"/>
          <w:szCs w:val="21"/>
        </w:rPr>
        <w:t xml:space="preserve">Four things, done well. Everything else is deferred until these are used daily.</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300"/>
        <w:gridCol w:w="5060"/>
      </w:tblGrid>
      <w:tr>
        <w:trPr>
          <w:tblHeader/>
        </w:trPr>
        <w:tc>
          <w:tcPr>
            <w:tcW w:type="dxa" w:w="4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Method and path</w:t>
            </w:r>
          </w:p>
        </w:tc>
        <w:tc>
          <w:tcPr>
            <w:tcW w:type="dxa" w:w="5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Purpose</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/portal/auth/activate</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Redeem a single-use invitation token, set password</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/portal/auth/login</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Rate limited</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/portal/auth/reset</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Rate limited, single-use token</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/portal/work</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Purchase orders and schedule windows for this vendor only</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/portal/work/:poId</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Scope text, exclusions, amount, window, project address</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/portal/schedule/:id/confirm</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Confirm or decline an assigned window</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/portal/work/:poId/invoices</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Submit an invoice against a PO</w:t>
            </w:r>
          </w:p>
        </w:tc>
      </w:tr>
      <w:tr>
        <w:tc>
          <w:tcPr>
            <w:tcW w:type="dxa" w:w="4300"/>
            <w:shd w:fill="F7F9FC" w:color="auto" w:val="clear"/>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GET /portal/compliance</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Own documents and expiry dates</w:t>
            </w:r>
          </w:p>
        </w:tc>
      </w:tr>
      <w:tr>
        <w:tc>
          <w:tcPr>
            <w:tcW w:type="dxa" w:w="4300"/>
            <w:tcMar>
              <w:top w:type="dxa" w:w="60"/>
              <w:left w:type="dxa" w:w="110"/>
              <w:bottom w:type="dxa" w:w="60"/>
              <w:right w:type="dxa" w:w="110"/>
            </w:tcMar>
          </w:tcPr>
          <w:p>
            <w:pPr>
              <w:spacing w:after="40" w:before="40"/>
            </w:pPr>
            <w:r>
              <w:rPr>
                <w:rFonts w:ascii="Consolas" w:cs="Consolas" w:eastAsia="Consolas" w:hAnsi="Consolas"/>
                <w:b w:val="false"/>
                <w:bCs w:val="false"/>
                <w:color w:val="1F2933"/>
                <w:sz w:val="18"/>
                <w:szCs w:val="18"/>
              </w:rPr>
              <w:t xml:space="preserve">POST /portal/compliance</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Upload a renewed certificate</w:t>
            </w:r>
          </w:p>
        </w:tc>
      </w:tr>
    </w:tbl>
    <w:p>
      <w:pPr>
        <w:pStyle w:val="Heading2"/>
        <w:spacing w:after="100" w:before="240"/>
      </w:pPr>
      <w:r>
        <w:rPr>
          <w:rFonts w:ascii="Calibri" w:cs="Calibri" w:eastAsia="Calibri" w:hAnsi="Calibri"/>
          <w:b/>
          <w:bCs/>
          <w:color w:val="1F2933"/>
          <w:sz w:val="24"/>
          <w:szCs w:val="24"/>
        </w:rPr>
        <w:t xml:space="preserve">4.1 What a portal response must never contain</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3400"/>
        <w:gridCol w:w="5960"/>
      </w:tblGrid>
      <w:tr>
        <w:trPr>
          <w:tblHeader/>
        </w:trPr>
        <w:tc>
          <w:tcPr>
            <w:tcW w:type="dxa" w:w="34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Never exposed</w:t>
            </w:r>
          </w:p>
        </w:tc>
        <w:tc>
          <w:tcPr>
            <w:tcW w:type="dxa" w:w="59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Why</w:t>
            </w:r>
          </w:p>
        </w:tc>
      </w:tr>
      <w:tr>
        <w:tc>
          <w:tcPr>
            <w:tcW w:type="dxa" w:w="34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Project budget, baseline, or any cost code total</w:t>
            </w:r>
          </w:p>
        </w:tc>
        <w:tc>
          <w:tcPr>
            <w:tcW w:type="dxa" w:w="59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 sub who sees the budget prices the next job against it</w:t>
            </w:r>
          </w:p>
        </w:tc>
      </w:tr>
      <w:tr>
        <w:tc>
          <w:tcPr>
            <w:tcW w:type="dxa" w:w="3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Contract value or margin</w:t>
            </w:r>
          </w:p>
        </w:tc>
        <w:tc>
          <w:tcPr>
            <w:tcW w:type="dxa" w:w="59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Same</w:t>
            </w:r>
          </w:p>
        </w:tc>
      </w:tr>
      <w:tr>
        <w:tc>
          <w:tcPr>
            <w:tcW w:type="dxa" w:w="34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Any other vendor’s PO, scope, pricing, or name</w:t>
            </w:r>
          </w:p>
        </w:tc>
        <w:tc>
          <w:tcPr>
            <w:tcW w:type="dxa" w:w="59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Competitive information you are handing over</w:t>
            </w:r>
          </w:p>
        </w:tc>
      </w:tr>
      <w:tr>
        <w:tc>
          <w:tcPr>
            <w:tcW w:type="dxa" w:w="3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Customer name, contact details, or address beyond the job site</w:t>
            </w:r>
          </w:p>
        </w:tc>
        <w:tc>
          <w:tcPr>
            <w:tcW w:type="dxa" w:w="59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Privacy, and route-around risk</w:t>
            </w:r>
          </w:p>
        </w:tc>
      </w:tr>
      <w:tr>
        <w:tc>
          <w:tcPr>
            <w:tcW w:type="dxa" w:w="34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Daily logs, change orders, draws</w:t>
            </w:r>
          </w:p>
        </w:tc>
        <w:tc>
          <w:tcPr>
            <w:tcW w:type="dxa" w:w="59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Nothing in them is the vendor’s business</w:t>
            </w:r>
          </w:p>
        </w:tc>
      </w:tr>
      <w:tr>
        <w:tc>
          <w:tcPr>
            <w:tcW w:type="dxa" w:w="3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Internal notes on their own vendor record</w:t>
            </w:r>
          </w:p>
        </w:tc>
        <w:tc>
          <w:tcPr>
            <w:tcW w:type="dxa" w:w="59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Scores and notes are shared deliberately, not incidentally</w:t>
            </w:r>
          </w:p>
        </w:tc>
      </w:tr>
    </w:tbl>
    <w:p>
      <w:pPr>
        <w:spacing w:after="120" w:before="80" w:line="276"/>
      </w:pPr>
      <w:r>
        <w:rPr>
          <w:rFonts w:ascii="Calibri" w:cs="Calibri" w:eastAsia="Calibri" w:hAnsi="Calibri"/>
          <w:b w:val="false"/>
          <w:bCs w:val="false"/>
          <w:i w:val="false"/>
          <w:iCs w:val="false"/>
          <w:color w:val="1F2933"/>
          <w:sz w:val="21"/>
          <w:szCs w:val="21"/>
        </w:rPr>
        <w:t xml:space="preserve">Build the portal serializers as explicit allow-lists. A serializer that starts from the full record and deletes fields will eventually leak a field somebody added later.</w:t>
      </w:r>
    </w:p>
    <w:tbl>
      <w:tblPr>
        <w:tblW w:type="dxa" w:w="9360"/>
        <w:tblBorders>
          <w:top w:val="none"/>
          <w:left w:val="single" w:color="B4231F" w:sz="18"/>
          <w:bottom w:val="none"/>
          <w:right w:val="none"/>
          <w:insideH w:val="none"/>
          <w:insideV w:val="none"/>
        </w:tblBorders>
      </w:tblPr>
      <w:tblGrid>
        <w:gridCol w:w="9360"/>
      </w:tblGrid>
      <w:tr>
        <w:tc>
          <w:tcPr>
            <w:tcW w:type="dxa" w:w="9360"/>
            <w:shd w:fill="FBEAE9" w:color="auto" w:val="clear"/>
            <w:tcMar>
              <w:top w:type="dxa" w:w="140"/>
              <w:left w:type="dxa" w:w="180"/>
              <w:bottom w:type="dxa" w:w="140"/>
              <w:right w:type="dxa" w:w="180"/>
            </w:tcMar>
          </w:tcPr>
          <w:p>
            <w:pPr>
              <w:spacing w:after="60"/>
            </w:pPr>
            <w:r>
              <w:rPr>
                <w:rFonts w:ascii="Calibri" w:cs="Calibri" w:eastAsia="Calibri" w:hAnsi="Calibri"/>
                <w:b/>
                <w:bCs/>
                <w:color w:val="1F2933"/>
                <w:sz w:val="21"/>
                <w:szCs w:val="21"/>
              </w:rPr>
              <w:t xml:space="preserve">The test that keeps this true</w:t>
            </w:r>
          </w:p>
          <w:p>
            <w:pPr>
              <w:spacing w:after="40"/>
            </w:pPr>
            <w:r>
              <w:rPr>
                <w:rFonts w:ascii="Calibri" w:cs="Calibri" w:eastAsia="Calibri" w:hAnsi="Calibri"/>
                <w:color w:val="1F2933"/>
                <w:sz w:val="20"/>
                <w:szCs w:val="20"/>
              </w:rPr>
              <w:t xml:space="preserve">Log in as vendor A. Request every portal route with vendor B’s identifiers substituted into every path and body parameter. Every one must return 404. Run it in CI on every commit.</w:t>
            </w:r>
          </w:p>
          <w:p>
            <w:pPr>
              <w:spacing w:after="40"/>
            </w:pPr>
            <w:r>
              <w:rPr>
                <w:rFonts w:ascii="Calibri" w:cs="Calibri" w:eastAsia="Calibri" w:hAnsi="Calibri"/>
                <w:color w:val="1F2933"/>
                <w:sz w:val="20"/>
                <w:szCs w:val="20"/>
              </w:rPr>
              <w:t xml:space="preserve">Write it before the portal handlers, not after. A test written after the code tends to assert what the code does rather than what the rule is.</w:t>
            </w:r>
          </w:p>
        </w:tc>
      </w:tr>
    </w:tbl>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5. Background Jobs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2400"/>
        <w:gridCol w:w="1900"/>
        <w:gridCol w:w="5060"/>
      </w:tblGrid>
      <w:tr>
        <w:trPr>
          <w:tblHeader/>
        </w:trPr>
        <w:tc>
          <w:tcPr>
            <w:tcW w:type="dxa" w:w="24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Job</w:t>
            </w:r>
          </w:p>
        </w:tc>
        <w:tc>
          <w:tcPr>
            <w:tcW w:type="dxa" w:w="19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Cadence</w:t>
            </w:r>
          </w:p>
        </w:tc>
        <w:tc>
          <w:tcPr>
            <w:tcW w:type="dxa" w:w="50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Does</w:t>
            </w:r>
          </w:p>
        </w:tc>
      </w:tr>
      <w:tr>
        <w:tc>
          <w:tcPr>
            <w:tcW w:type="dxa" w:w="24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Compliance expiry sweep</w:t>
            </w:r>
          </w:p>
        </w:tc>
        <w:tc>
          <w:tcPr>
            <w:tcW w:type="dxa" w:w="1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Nightly</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Emails vendors and office staff at warn_days; flips eligibility</w:t>
            </w:r>
          </w:p>
        </w:tc>
      </w:tr>
      <w:tr>
        <w:tc>
          <w:tcPr>
            <w:tcW w:type="dxa" w:w="2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Exception report</w:t>
            </w:r>
          </w:p>
        </w:tc>
        <w:tc>
          <w:tcPr>
            <w:tcW w:type="dxa" w:w="1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Weekly, Friday</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Assembles the four exception views into one email per business unit</w:t>
            </w:r>
          </w:p>
        </w:tc>
      </w:tr>
      <w:tr>
        <w:tc>
          <w:tcPr>
            <w:tcW w:type="dxa" w:w="24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Daily log reminder</w:t>
            </w:r>
          </w:p>
        </w:tc>
        <w:tc>
          <w:tcPr>
            <w:tcW w:type="dxa" w:w="1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Weekdays 16:00 tenant local</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Prompts PMs on active projects with no log</w:t>
            </w:r>
          </w:p>
        </w:tc>
      </w:tr>
      <w:tr>
        <w:tc>
          <w:tcPr>
            <w:tcW w:type="dxa" w:w="2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Draw verification retry</w:t>
            </w:r>
          </w:p>
        </w:tc>
        <w:tc>
          <w:tcPr>
            <w:tcW w:type="dxa" w:w="19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Hourly</w:t>
            </w:r>
          </w:p>
        </w:tc>
        <w:tc>
          <w:tcPr>
            <w:tcW w:type="dxa" w:w="50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Re-attempts verification for draws recorded but unverified</w:t>
            </w:r>
          </w:p>
        </w:tc>
      </w:tr>
      <w:tr>
        <w:tc>
          <w:tcPr>
            <w:tcW w:type="dxa" w:w="24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Portal user soft alert</w:t>
            </w:r>
          </w:p>
        </w:tc>
        <w:tc>
          <w:tcPr>
            <w:tcW w:type="dxa" w:w="19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Weekly</w:t>
            </w:r>
          </w:p>
        </w:tc>
        <w:tc>
          <w:tcPr>
            <w:tcW w:type="dxa" w:w="50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Signals when a tenant passes portal_user_soft_alert_at</w:t>
            </w:r>
          </w:p>
        </w:tc>
      </w:tr>
    </w:tbl>
    <w:p>
      <w:pPr>
        <w:spacing w:after="120" w:before="80" w:line="276"/>
      </w:pPr>
      <w:r>
        <w:rPr>
          <w:rFonts w:ascii="Calibri" w:cs="Calibri" w:eastAsia="Calibri" w:hAnsi="Calibri"/>
          <w:b w:val="false"/>
          <w:bCs w:val="false"/>
          <w:i w:val="false"/>
          <w:iCs w:val="false"/>
          <w:color w:val="1F2933"/>
          <w:sz w:val="21"/>
          <w:szCs w:val="21"/>
        </w:rPr>
        <w:t xml:space="preserve">Every job runs per tenant with app.tenant_id set, exactly like a request. A job that queries across tenants with a service role is the one place the RLS guarantee is easiest to lose.</w:t>
      </w:r>
    </w:p>
    <w:p>
      <w:pPr>
        <w:pStyle w:val="Heading1"/>
        <w:pBdr>
          <w:bottom w:val="single" w:color="F58220" w:sz="12" w:space="6"/>
        </w:pBdr>
        <w:spacing w:after="160" w:before="320"/>
      </w:pPr>
      <w:r>
        <w:rPr>
          <w:rFonts w:ascii="Calibri" w:cs="Calibri" w:eastAsia="Calibri" w:hAnsi="Calibri"/>
          <w:b/>
          <w:bCs/>
          <w:color w:val="00539B"/>
          <w:sz w:val="30"/>
          <w:szCs w:val="30"/>
        </w:rPr>
        <w:t xml:space="preserve">6. What CODE Should Build First</w:t>
      </w:r>
    </w:p>
    <w:p>
      <w:pPr>
        <w:pStyle w:val="ListParagraph"/>
        <w:numPr>
          <w:ilvl w:val="0"/>
          <w:numId w:val="3"/>
        </w:numPr>
        <w:spacing w:after="50" w:before="50" w:line="264"/>
      </w:pPr>
      <w:r>
        <w:rPr>
          <w:rFonts w:ascii="Calibri" w:cs="Calibri" w:eastAsia="Calibri" w:hAnsi="Calibri"/>
          <w:color w:val="1F2933"/>
          <w:sz w:val="21"/>
          <w:szCs w:val="21"/>
        </w:rPr>
        <w:t xml:space="preserve">The two tests. Cross-tenant isolation, and the boundary test that drops the estimating schema and runs the suite.</w:t>
      </w:r>
    </w:p>
    <w:p>
      <w:pPr>
        <w:pStyle w:val="ListParagraph"/>
        <w:numPr>
          <w:ilvl w:val="0"/>
          <w:numId w:val="3"/>
        </w:numPr>
        <w:spacing w:after="50" w:before="50" w:line="264"/>
      </w:pPr>
      <w:r>
        <w:rPr>
          <w:rFonts w:ascii="Calibri" w:cs="Calibri" w:eastAsia="Calibri" w:hAnsi="Calibri"/>
          <w:color w:val="1F2933"/>
          <w:sz w:val="21"/>
          <w:szCs w:val="21"/>
        </w:rPr>
        <w:t xml:space="preserve">Session middleware with SET LOCAL, plus a startup assertion that the app role lacks BYPASSRLS.</w:t>
      </w:r>
    </w:p>
    <w:p>
      <w:pPr>
        <w:pStyle w:val="ListParagraph"/>
        <w:numPr>
          <w:ilvl w:val="0"/>
          <w:numId w:val="3"/>
        </w:numPr>
        <w:spacing w:after="50" w:before="50" w:line="264"/>
      </w:pPr>
      <w:r>
        <w:rPr>
          <w:rFonts w:ascii="Calibri" w:cs="Calibri" w:eastAsia="Calibri" w:hAnsi="Calibri"/>
          <w:color w:val="1F2933"/>
          <w:sz w:val="21"/>
          <w:szCs w:val="21"/>
        </w:rPr>
        <w:t xml:space="preserve">Projects, gates, budget, cost position. This is phase 1–2 and it is independently useful.</w:t>
      </w:r>
    </w:p>
    <w:p>
      <w:pPr>
        <w:pStyle w:val="ListParagraph"/>
        <w:numPr>
          <w:ilvl w:val="0"/>
          <w:numId w:val="3"/>
        </w:numPr>
        <w:spacing w:after="50" w:before="50" w:line="264"/>
      </w:pPr>
      <w:r>
        <w:rPr>
          <w:rFonts w:ascii="Calibri" w:cs="Calibri" w:eastAsia="Calibri" w:hAnsi="Calibri"/>
          <w:color w:val="1F2933"/>
          <w:sz w:val="21"/>
          <w:szCs w:val="21"/>
        </w:rPr>
        <w:t xml:space="preserve">Vendors and compliance, including the expiry sweep.</w:t>
      </w:r>
    </w:p>
    <w:p>
      <w:pPr>
        <w:pStyle w:val="ListParagraph"/>
        <w:numPr>
          <w:ilvl w:val="0"/>
          <w:numId w:val="3"/>
        </w:numPr>
        <w:spacing w:after="50" w:before="50" w:line="264"/>
      </w:pPr>
      <w:r>
        <w:rPr>
          <w:rFonts w:ascii="Calibri" w:cs="Calibri" w:eastAsia="Calibri" w:hAnsi="Calibri"/>
          <w:color w:val="1F2933"/>
          <w:sz w:val="21"/>
          <w:szCs w:val="21"/>
        </w:rPr>
        <w:t xml:space="preserve">Draws with the manual adapter only. ServiceTitan verification comes after.</w:t>
      </w:r>
    </w:p>
    <w:p>
      <w:pPr>
        <w:pStyle w:val="ListParagraph"/>
        <w:numPr>
          <w:ilvl w:val="0"/>
          <w:numId w:val="3"/>
        </w:numPr>
        <w:spacing w:after="50" w:before="50" w:line="264"/>
      </w:pPr>
      <w:r>
        <w:rPr>
          <w:rFonts w:ascii="Calibri" w:cs="Calibri" w:eastAsia="Calibri" w:hAnsi="Calibri"/>
          <w:color w:val="1F2933"/>
          <w:sz w:val="21"/>
          <w:szCs w:val="21"/>
        </w:rPr>
        <w:t xml:space="preserve">Portal, with allow-list serializers written before handlers.</w:t>
      </w:r>
    </w:p>
    <w:p>
      <w:pPr>
        <w:pStyle w:val="ListParagraph"/>
        <w:numPr>
          <w:ilvl w:val="0"/>
          <w:numId w:val="3"/>
        </w:numPr>
        <w:spacing w:after="50" w:before="50" w:line="264"/>
      </w:pPr>
      <w:r>
        <w:rPr>
          <w:rFonts w:ascii="Calibri" w:cs="Calibri" w:eastAsia="Calibri" w:hAnsi="Calibri"/>
          <w:color w:val="1F2933"/>
          <w:sz w:val="21"/>
          <w:szCs w:val="21"/>
        </w:rPr>
        <w:t xml:space="preserve">Permits, schedule, daily logs.</w:t>
      </w:r>
    </w:p>
    <w:p>
      <w:pPr>
        <w:spacing w:after="120" w:before="80" w:line="276"/>
      </w:pPr>
      <w:r>
        <w:rPr>
          <w:rFonts w:ascii="Calibri" w:cs="Calibri" w:eastAsia="Calibri" w:hAnsi="Calibri"/>
          <w:b w:val="false"/>
          <w:bCs w:val="false"/>
          <w:i w:val="false"/>
          <w:iCs w:val="false"/>
          <w:color w:val="1F2933"/>
          <w:sz w:val="21"/>
          <w:szCs w:val="21"/>
        </w:rPr>
        <w:t xml:space="preserve">Manual adapter before the ServiceTitan adapter, so degradation is the default path rather than the fallback nobody tested.</w:t>
      </w:r>
    </w:p>
    <w:p>
      <w:pPr>
        <w:pStyle w:val="Heading1"/>
        <w:pBdr>
          <w:bottom w:val="single" w:color="F58220" w:sz="12" w:space="6"/>
        </w:pBdr>
        <w:spacing w:after="160" w:before="320"/>
      </w:pPr>
      <w:r>
        <w:rPr>
          <w:rFonts w:ascii="Calibri" w:cs="Calibri" w:eastAsia="Calibri" w:hAnsi="Calibri"/>
          <w:b/>
          <w:bCs/>
          <w:color w:val="00539B"/>
          <w:sz w:val="30"/>
          <w:szCs w:val="30"/>
        </w:rPr>
        <w:t xml:space="preserve">7. Open Items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700"/>
        <w:gridCol w:w="6400"/>
        <w:gridCol w:w="2260"/>
      </w:tblGrid>
      <w:tr>
        <w:trPr>
          <w:tblHeader/>
        </w:trPr>
        <w:tc>
          <w:tcPr>
            <w:tcW w:type="dxa" w:w="7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w:t>
            </w:r>
          </w:p>
        </w:tc>
        <w:tc>
          <w:tcPr>
            <w:tcW w:type="dxa" w:w="64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Item</w:t>
            </w:r>
          </w:p>
        </w:tc>
        <w:tc>
          <w:tcPr>
            <w:tcW w:type="dxa" w:w="22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8"/>
                <w:szCs w:val="18"/>
              </w:rPr>
              <w:t xml:space="preserve">Needed from</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1</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Change order approval threshold — per tenant setting, or hardcoded default?</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Mason</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2</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Data export scope and retention window on cancellation</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Mason + counsel</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3</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File storage provider and signed URL lifetime</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CODE</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4</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Email and SMS provider for portal invitations and expiry notices</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CODE</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5</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Whether the weekly exception report goes per business unit or per tenant</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Mason</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8"/>
                <w:szCs w:val="18"/>
              </w:rPr>
              <w:t xml:space="preserve">6</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ServiceTitan API tier — confirm the invoice lookback read is permitted</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8"/>
                <w:szCs w:val="18"/>
              </w:rPr>
              <w:t xml:space="preserve">Mason</w:t>
            </w:r>
          </w:p>
        </w:tc>
      </w:tr>
    </w:tbl>
    <w:p>
      <w:pPr>
        <w:spacing w:after="120" w:before="80" w:line="276"/>
      </w:pPr>
      <w:r>
        <w:rPr>
          <w:rFonts w:ascii="Calibri" w:cs="Calibri" w:eastAsia="Calibri" w:hAnsi="Calibri"/>
          <w:b w:val="false"/>
          <w:bCs w:val="false"/>
          <w:i/>
          <w:iCs/>
          <w:color w:val="6B7280"/>
          <w:sz w:val="20"/>
          <w:szCs w:val="20"/>
        </w:rPr>
        <w:t xml:space="preserve">Neither schema file has been executed against a live PostgreSQL instance; none was available where they were produced. Run both, in order, against a scratch database before any handler is written.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Journeyman Systems LLC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jc w:val="right"/>
    </w:pPr>
    <w:r>
      <w:rPr>
        <w:rFonts w:ascii="Calibri" w:cs="Calibri" w:eastAsia="Calibri" w:hAnsi="Calibri"/>
        <w:color w:val="6B7280"/>
        <w:sz w:val="16"/>
        <w:szCs w:val="16"/>
      </w:rPr>
      <w:t xml:space="preserve">Journeyman Projects · API Contract v1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Journeyman Projects — API Contract v1</dc:title>
  <dc:creator>Mason Holloway</dc:creator>
  <cp:lastModifiedBy>Un-named</cp:lastModifiedBy>
  <cp:revision>1</cp:revision>
  <dcterms:created xsi:type="dcterms:W3CDTF">2026-08-05T18:27:31.469Z</dcterms:created>
  <dcterms:modified xsi:type="dcterms:W3CDTF">2026-08-05T18:27:31.469Z</dcterms:modified>
</cp:coreProperties>
</file>

<file path=docProps/custom.xml><?xml version="1.0" encoding="utf-8"?>
<Properties xmlns="http://schemas.openxmlformats.org/officeDocument/2006/custom-properties" xmlns:vt="http://schemas.openxmlformats.org/officeDocument/2006/docPropsVTypes"/>
</file>