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r>
        <w:rPr>
          <w:rFonts w:ascii="Calibri" w:cs="Calibri" w:eastAsia="Calibri" w:hAnsi="Calibri"/>
          <w:b/>
          <w:bCs/>
          <w:color w:val="F58220"/>
          <w:spacing w:val="40"/>
          <w:sz w:val="26"/>
          <w:szCs w:val="26"/>
        </w:rPr>
        <w:t xml:space="preserve">JOURNEYMAN SYSTEMS LLC</w:t>
      </w:r>
    </w:p>
    <w:p>
      <w:pPr>
        <w:spacing w:after="40" w:before="20"/>
      </w:pPr>
      <w:r>
        <w:rPr>
          <w:rFonts w:ascii="Calibri" w:cs="Calibri" w:eastAsia="Calibri" w:hAnsi="Calibri"/>
          <w:color w:val="6B7280"/>
          <w:sz w:val="21"/>
          <w:szCs w:val="21"/>
        </w:rPr>
        <w:t xml:space="preserve">Platform architecture</w:t>
      </w:r>
    </w:p>
    <w:p>
      <w:pPr>
        <w:pBdr>
          <w:top w:val="single" w:color="00539B" w:sz="16" w:space="10"/>
        </w:pBdr>
        <w:spacing w:after="60" w:before="220"/>
      </w:pPr>
      <w:r>
        <w:rPr>
          <w:rFonts w:ascii="Calibri" w:cs="Calibri" w:eastAsia="Calibri" w:hAnsi="Calibri"/>
          <w:b/>
          <w:bCs/>
          <w:color w:val="00539B"/>
          <w:sz w:val="48"/>
          <w:szCs w:val="48"/>
        </w:rPr>
        <w:t xml:space="preserve">Journeyman Projects</w:t>
      </w:r>
    </w:p>
    <w:p>
      <w:pPr>
        <w:spacing w:after="320"/>
      </w:pPr>
      <w:r>
        <w:rPr>
          <w:rFonts w:ascii="Calibri" w:cs="Calibri" w:eastAsia="Calibri" w:hAnsi="Calibri"/>
          <w:color w:val="1F2933"/>
          <w:sz w:val="30"/>
          <w:szCs w:val="30"/>
        </w:rPr>
        <w:t xml:space="preserve">Module Architecture Addendum</w:t>
      </w:r>
    </w:p>
    <w:p>
      <w:pPr>
        <w:spacing w:after="60"/>
      </w:pPr>
      <w:r>
        <w:rPr>
          <w:rFonts w:ascii="Calibri" w:cs="Calibri" w:eastAsia="Calibri" w:hAnsi="Calibri"/>
          <w:i/>
          <w:iCs/>
          <w:color w:val="6B7280"/>
          <w:sz w:val="22"/>
          <w:szCs w:val="22"/>
        </w:rPr>
        <w:t xml:space="preserve">A separately licensed module, not an extension of the estimating core</w:t>
      </w:r>
    </w:p>
    <w:p>
      <w:pPr>
        <w:spacing w:before="600"/>
      </w:pPr>
      <w:r>
        <w:rPr>
          <w:rFonts w:ascii="Calibri" w:cs="Calibri" w:eastAsia="Calibri" w:hAnsi="Calibri"/>
          <w:b/>
          <w:bCs/>
          <w:color w:val="1F2933"/>
          <w:sz w:val="19"/>
          <w:szCs w:val="19"/>
        </w:rPr>
        <w:t xml:space="preserve">Version 1.0 · August 2026 · Owner: Mason Holloway</w:t>
      </w:r>
    </w:p>
    <w:p>
      <w:r>
        <w:rPr>
          <w:rFonts w:ascii="Calibri" w:cs="Calibri" w:eastAsia="Calibri" w:hAnsi="Calibri"/>
          <w:color w:val="6B7280"/>
          <w:sz w:val="19"/>
          <w:szCs w:val="19"/>
        </w:rPr>
        <w:t xml:space="preserve">Amends: Mr. Handyman Ops Tier 3 Build Specification v1.0 · Supersedes: tier3_schema.sql</w:t>
      </w:r>
    </w:p>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1. The Directive, and How It Was Read</w:t>
      </w:r>
    </w:p>
    <w:p>
      <w:pPr>
        <w:spacing w:after="120" w:before="80" w:line="276"/>
      </w:pPr>
      <w:r>
        <w:rPr>
          <w:rFonts w:ascii="Calibri" w:cs="Calibri" w:eastAsia="Calibri" w:hAnsi="Calibri"/>
          <w:b w:val="false"/>
          <w:bCs w:val="false"/>
          <w:i w:val="false"/>
          <w:iCs w:val="false"/>
          <w:color w:val="1F2933"/>
          <w:sz w:val="21"/>
          <w:szCs w:val="21"/>
        </w:rPr>
        <w:t xml:space="preserve">The instruction was that this becomes a configured option to Journeyman, switched on by subscription, but not a natural extension of that application. That distinction carries specific architectural weight, and it is worth stating the reading plainly so it can be corrected before code exists.</w:t>
      </w:r>
    </w:p>
    <w:p>
      <w:pPr>
        <w:pStyle w:val="Heading2"/>
        <w:spacing w:after="100" w:before="240"/>
      </w:pPr>
      <w:r>
        <w:rPr>
          <w:rFonts w:ascii="Calibri" w:cs="Calibri" w:eastAsia="Calibri" w:hAnsi="Calibri"/>
          <w:b/>
          <w:bCs/>
          <w:color w:val="1F2933"/>
          <w:sz w:val="24"/>
          <w:szCs w:val="24"/>
        </w:rPr>
        <w:t xml:space="preserve">1.1 Interpretation</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4680"/>
        <w:gridCol w:w="4680"/>
      </w:tblGrid>
      <w:tr>
        <w:trPr>
          <w:tblHeader/>
        </w:trPr>
        <w:tc>
          <w:tcPr>
            <w:tcW w:type="dxa" w:w="468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"Configured option, switched on by subscription" means</w:t>
            </w:r>
          </w:p>
        </w:tc>
        <w:tc>
          <w:tcPr>
            <w:tcW w:type="dxa" w:w="468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"Not a natural extension" means</w:t>
            </w:r>
          </w:p>
        </w:tc>
      </w:tr>
      <w:tr>
        <w:tc>
          <w:tcPr>
            <w:tcW w:type="dxa" w:w="46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Shares the platform: tenancy, identity, billing, file storage, deploy pipeline</w:t>
            </w:r>
          </w:p>
        </w:tc>
        <w:tc>
          <w:tcPr>
            <w:tcW w:type="dxa" w:w="46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Shares no tables with the estimating core</w:t>
            </w:r>
          </w:p>
        </w:tc>
      </w:tr>
      <w:tr>
        <w:tc>
          <w:tcPr>
            <w:tcW w:type="dxa" w:w="46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A tenant with the entitlement sees it; a tenant without it does not know it exists</w:t>
            </w:r>
          </w:p>
        </w:tc>
        <w:tc>
          <w:tcPr>
            <w:tcW w:type="dxa" w:w="46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The estimate arrives across a versioned contract, never a join</w:t>
            </w:r>
          </w:p>
        </w:tc>
      </w:tr>
      <w:tr>
        <w:tc>
          <w:tcPr>
            <w:tcW w:type="dxa" w:w="46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Sold as a distinct SKU with its own limits and price</w:t>
            </w:r>
          </w:p>
        </w:tc>
        <w:tc>
          <w:tcPr>
            <w:tcW w:type="dxa" w:w="46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Estimating can ship, change, and be sold with no dependency on this module</w:t>
            </w:r>
          </w:p>
        </w:tc>
      </w:tr>
      <w:tr>
        <w:tc>
          <w:tcPr>
            <w:tcW w:type="dxa" w:w="46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Activated per tenant, seeded with defaults, then diverges freely</w:t>
            </w:r>
          </w:p>
        </w:tc>
        <w:tc>
          <w:tcPr>
            <w:tcW w:type="dxa" w:w="46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This module can run for a tenant who never licenses estimating at all</w:t>
            </w:r>
          </w:p>
        </w:tc>
      </w:tr>
    </w:tbl>
    <w:p>
      <w:pPr>
        <w:spacing w:after="120" w:before="80" w:line="276"/>
      </w:pPr>
      <w:r>
        <w:rPr>
          <w:rFonts w:ascii="Calibri" w:cs="Calibri" w:eastAsia="Calibri" w:hAnsi="Calibri"/>
          <w:b w:val="false"/>
          <w:bCs w:val="false"/>
          <w:i/>
          <w:iCs/>
          <w:color w:val="6B7280"/>
          <w:sz w:val="20"/>
          <w:szCs w:val="20"/>
        </w:rPr>
        <w:t xml:space="preserve">If any of that is wrong — particularly the last row — say so, because it is the row that shapes the most code.</w:t>
      </w:r>
    </w:p>
    <w:p>
      <w:pPr>
        <w:pStyle w:val="Heading2"/>
        <w:spacing w:after="100" w:before="240"/>
      </w:pPr>
      <w:r>
        <w:rPr>
          <w:rFonts w:ascii="Calibri" w:cs="Calibri" w:eastAsia="Calibri" w:hAnsi="Calibri"/>
          <w:b/>
          <w:bCs/>
          <w:color w:val="1F2933"/>
          <w:sz w:val="24"/>
          <w:szCs w:val="24"/>
        </w:rPr>
        <w:t xml:space="preserve">1.2 The four boundary rules</w:t>
      </w:r>
    </w:p>
    <w:p>
      <w:pPr>
        <w:spacing w:after="120" w:before="80" w:line="276"/>
      </w:pPr>
      <w:r>
        <w:rPr>
          <w:rFonts w:ascii="Calibri" w:cs="Calibri" w:eastAsia="Calibri" w:hAnsi="Calibri"/>
          <w:b w:val="false"/>
          <w:bCs w:val="false"/>
          <w:i w:val="false"/>
          <w:iCs w:val="false"/>
          <w:color w:val="1F2933"/>
          <w:sz w:val="21"/>
          <w:szCs w:val="21"/>
        </w:rPr>
        <w:t xml:space="preserve">These are load-bearing. Violating any one of them turns the module back into an extension, which is what was ruled out.</w:t>
      </w:r>
    </w:p>
    <w:p>
      <w:pPr>
        <w:pStyle w:val="ListParagraph"/>
        <w:numPr>
          <w:ilvl w:val="0"/>
          <w:numId w:val="2"/>
        </w:numPr>
        <w:spacing w:after="50" w:before="50" w:line="264"/>
      </w:pPr>
      <w:r>
        <w:rPr>
          <w:rFonts w:ascii="Calibri" w:cs="Calibri" w:eastAsia="Calibri" w:hAnsi="Calibri"/>
          <w:color w:val="1F2933"/>
          <w:sz w:val="21"/>
          <w:szCs w:val="21"/>
        </w:rPr>
        <w:t xml:space="preserve">Everything lives in its own schema. No foreign key crosses from the estimating core into it, and none crosses from it into the estimating core.</w:t>
      </w:r>
    </w:p>
    <w:p>
      <w:pPr>
        <w:pStyle w:val="ListParagraph"/>
        <w:numPr>
          <w:ilvl w:val="0"/>
          <w:numId w:val="2"/>
        </w:numPr>
        <w:spacing w:after="50" w:before="50" w:line="264"/>
      </w:pPr>
      <w:r>
        <w:rPr>
          <w:rFonts w:ascii="Calibri" w:cs="Calibri" w:eastAsia="Calibri" w:hAnsi="Calibri"/>
          <w:color w:val="1F2933"/>
          <w:sz w:val="21"/>
          <w:szCs w:val="21"/>
        </w:rPr>
        <w:t xml:space="preserve">Every tenant-scoped table carries tenant_id and is protected by row-level security. Isolation is a database guarantee, not a remembered WHERE clause.</w:t>
      </w:r>
    </w:p>
    <w:p>
      <w:pPr>
        <w:pStyle w:val="ListParagraph"/>
        <w:numPr>
          <w:ilvl w:val="0"/>
          <w:numId w:val="2"/>
        </w:numPr>
        <w:spacing w:after="50" w:before="50" w:line="264"/>
      </w:pPr>
      <w:r>
        <w:rPr>
          <w:rFonts w:ascii="Calibri" w:cs="Calibri" w:eastAsia="Calibri" w:hAnsi="Calibri"/>
          <w:color w:val="1F2933"/>
          <w:sz w:val="21"/>
          <w:szCs w:val="21"/>
        </w:rPr>
        <w:t xml:space="preserve">No field service platform is named anywhere in the data model. The revenue system of record is an adapter.</w:t>
      </w:r>
    </w:p>
    <w:p>
      <w:pPr>
        <w:pStyle w:val="ListParagraph"/>
        <w:numPr>
          <w:ilvl w:val="0"/>
          <w:numId w:val="2"/>
        </w:numPr>
        <w:spacing w:after="50" w:before="50" w:line="264"/>
      </w:pPr>
      <w:r>
        <w:rPr>
          <w:rFonts w:ascii="Calibri" w:cs="Calibri" w:eastAsia="Calibri" w:hAnsi="Calibri"/>
          <w:color w:val="1F2933"/>
          <w:sz w:val="21"/>
          <w:szCs w:val="21"/>
        </w:rPr>
        <w:t xml:space="preserve">Access requires an active entitlement, and the entitlement check is inside the same RLS predicate as tenant isolation. A lapsed subscription reads as an empty database, not as a feature flag someone forgot to check on one route.</w:t>
      </w:r>
    </w:p>
    <w:tbl>
      <w:tblPr>
        <w:tblW w:type="dxa" w:w="9360"/>
        <w:tblBorders>
          <w:top w:val="none"/>
          <w:left w:val="single" w:color="F58220" w:sz="18"/>
          <w:bottom w:val="none"/>
          <w:right w:val="none"/>
          <w:insideH w:val="none"/>
          <w:insideV w:val="none"/>
        </w:tblBorders>
      </w:tblPr>
      <w:tblGrid>
        <w:gridCol w:w="9360"/>
      </w:tblGrid>
      <w:tr>
        <w:tc>
          <w:tcPr>
            <w:tcW w:type="dxa" w:w="9360"/>
            <w:shd w:fill="FDF0E4" w:color="auto" w:val="clear"/>
            <w:tcMar>
              <w:top w:type="dxa" w:w="140"/>
              <w:left w:type="dxa" w:w="180"/>
              <w:bottom w:type="dxa" w:w="140"/>
              <w:right w:type="dxa" w:w="180"/>
            </w:tcMar>
          </w:tcPr>
          <w:p>
            <w:pPr>
              <w:spacing w:after="60"/>
            </w:pPr>
            <w:r>
              <w:rPr>
                <w:rFonts w:ascii="Calibri" w:cs="Calibri" w:eastAsia="Calibri" w:hAnsi="Calibri"/>
                <w:b/>
                <w:bCs/>
                <w:color w:val="1F2933"/>
                <w:sz w:val="21"/>
                <w:szCs w:val="21"/>
              </w:rPr>
              <w:t xml:space="preserve">Rule 4 is the one that usually gets built wrong</w:t>
            </w:r>
          </w:p>
          <w:p>
            <w:pPr>
              <w:spacing w:after="40"/>
            </w:pPr>
            <w:r>
              <w:rPr>
                <w:rFonts w:ascii="Calibri" w:cs="Calibri" w:eastAsia="Calibri" w:hAnsi="Calibri"/>
                <w:color w:val="1F2933"/>
                <w:sz w:val="20"/>
                <w:szCs w:val="20"/>
              </w:rPr>
              <w:t xml:space="preserve">The common pattern is to check entitlement in middleware and trust it thereafter. That works until one background job, one report export, or one internal admin route forgets. Putting the entitlement inside the RLS predicate means a lapsed tenant returns zero rows even from code that never heard of subscriptions. The one exception is the entitlements table itself, which is tenant-isolated but not entitlement-gated — otherwise a suspended customer cannot be shown why they are suspended.</w:t>
            </w:r>
          </w:p>
        </w:tc>
      </w:tr>
    </w:tbl>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2. What Changed From the Previous Specification</w:t>
      </w:r>
    </w:p>
    <w:p>
      <w:pPr>
        <w:spacing w:after="120" w:before="80" w:line="276"/>
      </w:pPr>
      <w:r>
        <w:rPr>
          <w:rFonts w:ascii="Calibri" w:cs="Calibri" w:eastAsia="Calibri" w:hAnsi="Calibri"/>
          <w:b w:val="false"/>
          <w:bCs w:val="false"/>
          <w:i w:val="false"/>
          <w:iCs w:val="false"/>
          <w:color w:val="1F2933"/>
          <w:sz w:val="21"/>
          <w:szCs w:val="21"/>
        </w:rPr>
        <w:t xml:space="preserve">The build spec and schema issued previously were written for a single-tenant internal application. Several parts of them are wrong for a licensed module. This is the delta.</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2500"/>
        <w:gridCol w:w="3300"/>
        <w:gridCol w:w="3560"/>
      </w:tblGrid>
      <w:tr>
        <w:trPr>
          <w:tblHeader/>
        </w:trPr>
        <w:tc>
          <w:tcPr>
            <w:tcW w:type="dxa" w:w="25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Was</w:t>
            </w:r>
          </w:p>
        </w:tc>
        <w:tc>
          <w:tcPr>
            <w:tcW w:type="dxa" w:w="3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Now</w:t>
            </w:r>
          </w:p>
        </w:tc>
        <w:tc>
          <w:tcPr>
            <w:tcW w:type="dxa" w:w="35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Why</w:t>
            </w:r>
          </w:p>
        </w:tc>
      </w:tr>
      <w:tr>
        <w:tc>
          <w:tcPr>
            <w:tcW w:type="dxa" w:w="2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Schema tier3</w:t>
            </w:r>
          </w:p>
        </w:tc>
        <w:tc>
          <w:tcPr>
            <w:tcW w:type="dxa" w:w="3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Schema projects</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"Tier 3" is Mr. Handyman internal jargon and cannot be a product name</w:t>
            </w:r>
          </w:p>
        </w:tc>
      </w:tr>
      <w:tr>
        <w:tc>
          <w:tcPr>
            <w:tcW w:type="dxa" w:w="2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No tenant concept</w:t>
            </w:r>
          </w:p>
        </w:tc>
        <w:tc>
          <w:tcPr>
            <w:tcW w:type="dxa" w:w="3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tenant_id on every table, RLS enforced</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Multi-tenant is the whole premise</w:t>
            </w:r>
          </w:p>
        </w:tc>
      </w:tr>
      <w:tr>
        <w:tc>
          <w:tcPr>
            <w:tcW w:type="dxa" w:w="2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No subscription concept</w:t>
            </w:r>
          </w:p>
        </w:tc>
        <w:tc>
          <w:tcPr>
            <w:tcW w:type="dxa" w:w="3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entitlements table, checked inside RLS</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Switched on by subscription, as directed</w:t>
            </w:r>
          </w:p>
        </w:tc>
      </w:tr>
      <w:tr>
        <w:tc>
          <w:tcPr>
            <w:tcW w:type="dxa" w:w="2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st_job_id, st_customer_id</w:t>
            </w:r>
          </w:p>
        </w:tc>
        <w:tc>
          <w:tcPr>
            <w:tcW w:type="dxa" w:w="3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external_system_id, external_job_id, external_customer_id</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A customer may run Jobber, Housecall Pro, or nothing at all</w:t>
            </w:r>
          </w:p>
        </w:tc>
      </w:tr>
      <w:tr>
        <w:tc>
          <w:tcPr>
            <w:tcW w:type="dxa" w:w="2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st_invoice_number on draws</w:t>
            </w:r>
          </w:p>
        </w:tc>
        <w:tc>
          <w:tcPr>
            <w:tcW w:type="dxa" w:w="3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external_invoice_number plus a verified_at stamp</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Same control, platform-agnostic, and now records whether it was verified or merely asserted</w:t>
            </w:r>
          </w:p>
        </w:tc>
      </w:tr>
      <w:tr>
        <w:tc>
          <w:tcPr>
            <w:tcW w:type="dxa" w:w="2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Global cost_codes table</w:t>
            </w:r>
          </w:p>
        </w:tc>
        <w:tc>
          <w:tcPr>
            <w:tcW w:type="dxa" w:w="3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Per-tenant cost codes seeded at activation</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One customer editing a code must never change another customer’s console</w:t>
            </w:r>
          </w:p>
        </w:tc>
      </w:tr>
      <w:tr>
        <w:tc>
          <w:tcPr>
            <w:tcW w:type="dxa" w:w="2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Fixed five gates</w:t>
            </w:r>
          </w:p>
        </w:tc>
        <w:tc>
          <w:tcPr>
            <w:tcW w:type="dxa" w:w="3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gate_templates per tenant</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Five gates is a shipped default, not a constraint on every customer</w:t>
            </w:r>
          </w:p>
        </w:tc>
      </w:tr>
      <w:tr>
        <w:tc>
          <w:tcPr>
            <w:tcW w:type="dxa" w:w="2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Fixed compliance document list</w:t>
            </w:r>
          </w:p>
        </w:tc>
        <w:tc>
          <w:tcPr>
            <w:tcW w:type="dxa" w:w="3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compliance_requirements per tenant, with blocks_scheduling flag</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Requirements vary by state and by risk appetite</w:t>
            </w:r>
          </w:p>
        </w:tc>
      </w:tr>
      <w:tr>
        <w:tc>
          <w:tcPr>
            <w:tcW w:type="dxa" w:w="2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va_license_number</w:t>
            </w:r>
          </w:p>
        </w:tc>
        <w:tc>
          <w:tcPr>
            <w:tcW w:type="dxa" w:w="3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license_number plus license_authority</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Virginia DPOR is not a universal concept</w:t>
            </w:r>
          </w:p>
        </w:tc>
      </w:tr>
      <w:tr>
        <w:tc>
          <w:tcPr>
            <w:tcW w:type="dxa" w:w="2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Direct link to Journeyman estimate</w:t>
            </w:r>
          </w:p>
        </w:tc>
        <w:tc>
          <w:tcPr>
            <w:tcW w:type="dxa" w:w="3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estimate_imports: versioned immutable snapshot</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This is the boundary. No join, ever.</w:t>
            </w:r>
          </w:p>
        </w:tc>
      </w:tr>
      <w:tr>
        <w:tc>
          <w:tcPr>
            <w:tcW w:type="dxa" w:w="2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numeric(12,2)</w:t>
            </w:r>
          </w:p>
        </w:tc>
        <w:tc>
          <w:tcPr>
            <w:tcW w:type="dxa" w:w="3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numeric(14,2) plus currency column</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Headroom, and a customer outside the US eventually</w:t>
            </w:r>
          </w:p>
        </w:tc>
      </w:tr>
    </w:tbl>
    <w:p>
      <w:pPr>
        <w:pStyle w:val="Heading1"/>
        <w:pBdr>
          <w:bottom w:val="single" w:color="F58220" w:sz="12" w:space="6"/>
        </w:pBdr>
        <w:spacing w:after="160" w:before="320"/>
      </w:pPr>
      <w:r>
        <w:rPr>
          <w:rFonts w:ascii="Calibri" w:cs="Calibri" w:eastAsia="Calibri" w:hAnsi="Calibri"/>
          <w:b/>
          <w:bCs/>
          <w:color w:val="00539B"/>
          <w:sz w:val="30"/>
          <w:szCs w:val="30"/>
        </w:rPr>
        <w:t xml:space="preserve">3. The Estimate Contract</w:t>
      </w:r>
    </w:p>
    <w:p>
      <w:pPr>
        <w:spacing w:after="120" w:before="80" w:line="276"/>
      </w:pPr>
      <w:r>
        <w:rPr>
          <w:rFonts w:ascii="Calibri" w:cs="Calibri" w:eastAsia="Calibri" w:hAnsi="Calibri"/>
          <w:b w:val="false"/>
          <w:bCs w:val="false"/>
          <w:i w:val="false"/>
          <w:iCs w:val="false"/>
          <w:color w:val="1F2933"/>
          <w:sz w:val="21"/>
          <w:szCs w:val="21"/>
        </w:rPr>
        <w:t xml:space="preserve">This is the single most important design decision in the addendum, because it is the thing that keeps the two modules independent.</w:t>
      </w:r>
    </w:p>
    <w:p>
      <w:pPr>
        <w:spacing w:after="120" w:before="80" w:line="276"/>
      </w:pPr>
      <w:r>
        <w:rPr>
          <w:rFonts w:ascii="Calibri" w:cs="Calibri" w:eastAsia="Calibri" w:hAnsi="Calibri"/>
          <w:b w:val="false"/>
          <w:bCs w:val="false"/>
          <w:i w:val="false"/>
          <w:iCs w:val="false"/>
          <w:color w:val="1F2933"/>
          <w:sz w:val="21"/>
          <w:szCs w:val="21"/>
        </w:rPr>
        <w:t xml:space="preserve">The estimating core does not write into this module. It emits an estimate snapshot against a named contract version. The projects module stores that payload verbatim and builds a budget from it. The estimating data model can be refactored freely without a migration here, which is the entire point.</w:t>
      </w:r>
    </w:p>
    <w:p>
      <w:pPr>
        <w:shd w:fill="F4F6F4" w:color="auto" w:val="clear"/>
        <w:spacing w:after="20" w:before="20"/>
      </w:pPr>
      <w:r>
        <w:rPr>
          <w:rFonts w:ascii="Consolas" w:cs="Consolas" w:eastAsia="Consolas" w:hAnsi="Consolas"/>
          <w:color w:val="0B2E4F"/>
          <w:sz w:val="18"/>
          <w:szCs w:val="18"/>
        </w:rPr>
        <w:t xml:space="preserve">POST /api/projects/estimate-imports</w:t>
      </w:r>
    </w:p>
    <w:p>
      <w:pPr>
        <w:shd w:fill="F4F6F4" w:color="auto" w:val="clear"/>
        <w:spacing w:after="20" w:before="20"/>
      </w:pPr>
      <w:r>
        <w:rPr>
          <w:rFonts w:ascii="Consolas" w:cs="Consolas" w:eastAsia="Consolas" w:hAnsi="Consolas"/>
          <w:color w:val="0B2E4F"/>
          <w:sz w:val="18"/>
          <w:szCs w:val="18"/>
        </w:rPr>
        <w:t xml:space="preserve">  { contract_version: "estimate.v1",</w:t>
      </w:r>
    </w:p>
    <w:p>
      <w:pPr>
        <w:shd w:fill="F4F6F4" w:color="auto" w:val="clear"/>
        <w:spacing w:after="20" w:before="20"/>
      </w:pPr>
      <w:r>
        <w:rPr>
          <w:rFonts w:ascii="Consolas" w:cs="Consolas" w:eastAsia="Consolas" w:hAnsi="Consolas"/>
          <w:color w:val="0B2E4F"/>
          <w:sz w:val="18"/>
          <w:szCs w:val="18"/>
        </w:rPr>
        <w:t xml:space="preserve">    source_kind: "journeyman_estimate" | "external" | "manual",</w:t>
      </w:r>
    </w:p>
    <w:p>
      <w:pPr>
        <w:shd w:fill="F4F6F4" w:color="auto" w:val="clear"/>
        <w:spacing w:after="20" w:before="20"/>
      </w:pPr>
      <w:r>
        <w:rPr>
          <w:rFonts w:ascii="Consolas" w:cs="Consolas" w:eastAsia="Consolas" w:hAnsi="Consolas"/>
          <w:color w:val="0B2E4F"/>
          <w:sz w:val="18"/>
          <w:szCs w:val="18"/>
        </w:rPr>
        <w:t xml:space="preserve">    source_key: "&lt;opaque id&gt;",</w:t>
      </w:r>
    </w:p>
    <w:p>
      <w:pPr>
        <w:shd w:fill="F4F6F4" w:color="auto" w:val="clear"/>
        <w:spacing w:after="20" w:before="20"/>
      </w:pPr>
      <w:r>
        <w:rPr>
          <w:rFonts w:ascii="Consolas" w:cs="Consolas" w:eastAsia="Consolas" w:hAnsi="Consolas"/>
          <w:color w:val="0B2E4F"/>
          <w:sz w:val="18"/>
          <w:szCs w:val="18"/>
        </w:rPr>
        <w:t xml:space="preserve">    payload: { sold_price, currency, lines: [{ code, description,</w:t>
      </w:r>
    </w:p>
    <w:p>
      <w:pPr>
        <w:shd w:fill="F4F6F4" w:color="auto" w:val="clear"/>
        <w:spacing w:after="20" w:before="20"/>
      </w:pPr>
      <w:r>
        <w:rPr>
          <w:rFonts w:ascii="Consolas" w:cs="Consolas" w:eastAsia="Consolas" w:hAnsi="Consolas"/>
          <w:color w:val="0B2E4F"/>
          <w:sz w:val="18"/>
          <w:szCs w:val="18"/>
        </w:rPr>
        <w:t xml:space="preserve">               quantity, unit, cost_type, amount }] } }</w:t>
      </w:r>
    </w:p>
    <w:p>
      <w:pPr>
        <w:pStyle w:val="Heading2"/>
        <w:spacing w:after="100" w:before="240"/>
      </w:pPr>
      <w:r>
        <w:rPr>
          <w:rFonts w:ascii="Calibri" w:cs="Calibri" w:eastAsia="Calibri" w:hAnsi="Calibri"/>
          <w:b/>
          <w:bCs/>
          <w:color w:val="1F2933"/>
          <w:sz w:val="24"/>
          <w:szCs w:val="24"/>
        </w:rPr>
        <w:t xml:space="preserve">3.1 Contract rules</w:t>
      </w:r>
    </w:p>
    <w:p>
      <w:pPr>
        <w:pStyle w:val="ListParagraph"/>
        <w:numPr>
          <w:ilvl w:val="0"/>
          <w:numId w:val="3"/>
        </w:numPr>
        <w:spacing w:after="40" w:before="40" w:line="264"/>
      </w:pPr>
      <w:r>
        <w:rPr>
          <w:rFonts w:ascii="Calibri" w:cs="Calibri" w:eastAsia="Calibri" w:hAnsi="Calibri"/>
          <w:color w:val="1F2933"/>
          <w:sz w:val="21"/>
          <w:szCs w:val="21"/>
        </w:rPr>
        <w:t xml:space="preserve">The payload is immutable once received. A revised estimate is a new import with a new source_key, not an update.</w:t>
      </w:r>
    </w:p>
    <w:p>
      <w:pPr>
        <w:pStyle w:val="ListParagraph"/>
        <w:numPr>
          <w:ilvl w:val="0"/>
          <w:numId w:val="3"/>
        </w:numPr>
        <w:spacing w:after="40" w:before="40" w:line="264"/>
      </w:pPr>
      <w:r>
        <w:rPr>
          <w:rFonts w:ascii="Calibri" w:cs="Calibri" w:eastAsia="Calibri" w:hAnsi="Calibri"/>
          <w:color w:val="1F2933"/>
          <w:sz w:val="21"/>
          <w:szCs w:val="21"/>
        </w:rPr>
        <w:t xml:space="preserve">The contract version is explicit in the payload. Supporting estimate.v1 and estimate.v2 concurrently must be possible.</w:t>
      </w:r>
    </w:p>
    <w:p>
      <w:pPr>
        <w:pStyle w:val="ListParagraph"/>
        <w:numPr>
          <w:ilvl w:val="0"/>
          <w:numId w:val="3"/>
        </w:numPr>
        <w:spacing w:after="40" w:before="40" w:line="264"/>
      </w:pPr>
      <w:r>
        <w:rPr>
          <w:rFonts w:ascii="Calibri" w:cs="Calibri" w:eastAsia="Calibri" w:hAnsi="Calibri"/>
          <w:color w:val="1F2933"/>
          <w:sz w:val="21"/>
          <w:szCs w:val="21"/>
        </w:rPr>
        <w:t xml:space="preserve">source_kind allows "manual" and "external", so the module works for a tenant who never licenses Journeyman estimating.</w:t>
      </w:r>
    </w:p>
    <w:p>
      <w:pPr>
        <w:pStyle w:val="ListParagraph"/>
        <w:numPr>
          <w:ilvl w:val="0"/>
          <w:numId w:val="3"/>
        </w:numPr>
        <w:spacing w:after="40" w:before="40" w:line="264"/>
      </w:pPr>
      <w:r>
        <w:rPr>
          <w:rFonts w:ascii="Calibri" w:cs="Calibri" w:eastAsia="Calibri" w:hAnsi="Calibri"/>
          <w:color w:val="1F2933"/>
          <w:sz w:val="21"/>
          <w:szCs w:val="21"/>
        </w:rPr>
        <w:t xml:space="preserve">The projects module validates the payload against the contract and rejects malformed input loudly. It never reaches into the estimating database to fill a gap.</w:t>
      </w:r>
    </w:p>
    <w:tbl>
      <w:tblPr>
        <w:tblW w:type="dxa" w:w="9360"/>
        <w:tblBorders>
          <w:top w:val="none"/>
          <w:left w:val="single" w:color="F58220" w:sz="18"/>
          <w:bottom w:val="none"/>
          <w:right w:val="none"/>
          <w:insideH w:val="none"/>
          <w:insideV w:val="none"/>
        </w:tblBorders>
      </w:tblPr>
      <w:tblGrid>
        <w:gridCol w:w="9360"/>
      </w:tblGrid>
      <w:tr>
        <w:tc>
          <w:tcPr>
            <w:tcW w:type="dxa" w:w="9360"/>
            <w:shd w:fill="FDF0E4" w:color="auto" w:val="clear"/>
            <w:tcMar>
              <w:top w:type="dxa" w:w="140"/>
              <w:left w:type="dxa" w:w="180"/>
              <w:bottom w:type="dxa" w:w="140"/>
              <w:right w:type="dxa" w:w="180"/>
            </w:tcMar>
          </w:tcPr>
          <w:p>
            <w:pPr>
              <w:spacing w:after="60"/>
            </w:pPr>
            <w:r>
              <w:rPr>
                <w:rFonts w:ascii="Calibri" w:cs="Calibri" w:eastAsia="Calibri" w:hAnsi="Calibri"/>
                <w:b/>
                <w:bCs/>
                <w:color w:val="1F2933"/>
                <w:sz w:val="21"/>
                <w:szCs w:val="21"/>
              </w:rPr>
              <w:t xml:space="preserve">The test that proves the boundary holds</w:t>
            </w:r>
          </w:p>
          <w:p>
            <w:pPr>
              <w:spacing w:after="40"/>
            </w:pPr>
            <w:r>
              <w:rPr>
                <w:rFonts w:ascii="Calibri" w:cs="Calibri" w:eastAsia="Calibri" w:hAnsi="Calibri"/>
                <w:color w:val="1F2933"/>
                <w:sz w:val="20"/>
                <w:szCs w:val="20"/>
              </w:rPr>
              <w:t xml:space="preserve">Drop the estimating module’s schema in a test database and run the projects module’s full test suite. Everything must pass. If anything fails, a dependency has crept in that the module boundary was supposed to prevent. Run this in CI, not once.</w:t>
            </w:r>
          </w:p>
        </w:tc>
      </w:tr>
    </w:tbl>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4. The External System Adapter</w:t>
      </w:r>
    </w:p>
    <w:p>
      <w:pPr>
        <w:spacing w:after="120" w:before="80" w:line="276"/>
      </w:pPr>
      <w:r>
        <w:rPr>
          <w:rFonts w:ascii="Calibri" w:cs="Calibri" w:eastAsia="Calibri" w:hAnsi="Calibri"/>
          <w:b w:val="false"/>
          <w:bCs w:val="false"/>
          <w:i w:val="false"/>
          <w:iCs w:val="false"/>
          <w:color w:val="1F2933"/>
          <w:sz w:val="21"/>
          <w:szCs w:val="21"/>
        </w:rPr>
        <w:t xml:space="preserve">Mr. Handyman runs ServiceTitan. That fact must not appear in the data model, because the next three customers may not.</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3400"/>
        <w:gridCol w:w="2980"/>
        <w:gridCol w:w="2980"/>
      </w:tblGrid>
      <w:tr>
        <w:trPr>
          <w:tblHeader/>
        </w:trPr>
        <w:tc>
          <w:tcPr>
            <w:tcW w:type="dxa" w:w="34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Adapter capability</w:t>
            </w:r>
          </w:p>
        </w:tc>
        <w:tc>
          <w:tcPr>
            <w:tcW w:type="dxa" w:w="298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ServiceTitan</w:t>
            </w:r>
          </w:p>
        </w:tc>
        <w:tc>
          <w:tcPr>
            <w:tcW w:type="dxa" w:w="298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Generic / manual</w:t>
            </w:r>
          </w:p>
        </w:tc>
      </w:tr>
      <w:tr>
        <w:tc>
          <w:tcPr>
            <w:tcW w:type="dxa" w:w="34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Pull customer and job at project creation</w:t>
            </w:r>
          </w:p>
        </w:tc>
        <w:tc>
          <w:tcPr>
            <w:tcW w:type="dxa" w:w="29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Yes</w:t>
            </w:r>
          </w:p>
        </w:tc>
        <w:tc>
          <w:tcPr>
            <w:tcW w:type="dxa" w:w="29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Office staff enters manually</w:t>
            </w:r>
          </w:p>
        </w:tc>
      </w:tr>
      <w:tr>
        <w:tc>
          <w:tcPr>
            <w:tcW w:type="dxa" w:w="34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Pull sold estimate lines</w:t>
            </w:r>
          </w:p>
        </w:tc>
        <w:tc>
          <w:tcPr>
            <w:tcW w:type="dxa" w:w="29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Yes</w:t>
            </w:r>
          </w:p>
        </w:tc>
        <w:tc>
          <w:tcPr>
            <w:tcW w:type="dxa" w:w="29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Budget built from estimate import or by hand</w:t>
            </w:r>
          </w:p>
        </w:tc>
      </w:tr>
      <w:tr>
        <w:tc>
          <w:tcPr>
            <w:tcW w:type="dxa" w:w="34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Verify a recorded invoice number exists</w:t>
            </w:r>
          </w:p>
        </w:tc>
        <w:tc>
          <w:tcPr>
            <w:tcW w:type="dxa" w:w="29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Yes</w:t>
            </w:r>
          </w:p>
        </w:tc>
        <w:tc>
          <w:tcPr>
            <w:tcW w:type="dxa" w:w="298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Number recorded on trust, verified_at stays null</w:t>
            </w:r>
          </w:p>
        </w:tc>
      </w:tr>
      <w:tr>
        <w:tc>
          <w:tcPr>
            <w:tcW w:type="dxa" w:w="34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Write anything back</w:t>
            </w:r>
          </w:p>
        </w:tc>
        <w:tc>
          <w:tcPr>
            <w:tcW w:type="dxa" w:w="29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Never</w:t>
            </w:r>
          </w:p>
        </w:tc>
        <w:tc>
          <w:tcPr>
            <w:tcW w:type="dxa" w:w="298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Never</w:t>
            </w:r>
          </w:p>
        </w:tc>
      </w:tr>
    </w:tbl>
    <w:p>
      <w:pPr>
        <w:spacing w:after="120" w:before="80" w:line="276"/>
      </w:pPr>
      <w:r>
        <w:rPr>
          <w:rFonts w:ascii="Calibri" w:cs="Calibri" w:eastAsia="Calibri" w:hAnsi="Calibri"/>
          <w:b w:val="false"/>
          <w:bCs w:val="false"/>
          <w:i w:val="false"/>
          <w:iCs w:val="false"/>
          <w:color w:val="1F2933"/>
          <w:sz w:val="21"/>
          <w:szCs w:val="21"/>
        </w:rPr>
        <w:t xml:space="preserve">Note the last row. The module is read-only against every external system, in every configuration. That is a product rule, not a Mr. Handyman preference — it is what keeps the module from ever being blamed for corrupting a customer’s books or their field service platform.</w:t>
      </w:r>
    </w:p>
    <w:p>
      <w:pPr>
        <w:pStyle w:val="Heading2"/>
        <w:spacing w:after="100" w:before="240"/>
      </w:pPr>
      <w:r>
        <w:rPr>
          <w:rFonts w:ascii="Calibri" w:cs="Calibri" w:eastAsia="Calibri" w:hAnsi="Calibri"/>
          <w:b/>
          <w:bCs/>
          <w:color w:val="1F2933"/>
          <w:sz w:val="24"/>
          <w:szCs w:val="24"/>
        </w:rPr>
        <w:t xml:space="preserve">4.1 Degradation is a feature</w:t>
      </w:r>
    </w:p>
    <w:p>
      <w:pPr>
        <w:spacing w:after="120" w:before="80" w:line="276"/>
      </w:pPr>
      <w:r>
        <w:rPr>
          <w:rFonts w:ascii="Calibri" w:cs="Calibri" w:eastAsia="Calibri" w:hAnsi="Calibri"/>
          <w:b w:val="false"/>
          <w:bCs w:val="false"/>
          <w:i w:val="false"/>
          <w:iCs w:val="false"/>
          <w:color w:val="1F2933"/>
          <w:sz w:val="21"/>
          <w:szCs w:val="21"/>
        </w:rPr>
        <w:t xml:space="preserve">A tenant with adapter_key = manual gets the full module. Draws still carry an invoice number field, the exception report still surfaces draws that have not been invoiced, and the control still works. It is simply asserted rather than verified. Building for the manual case first makes every adapter afterward an enhancement instead of a dependency.</w:t>
      </w:r>
    </w:p>
    <w:p>
      <w:pPr>
        <w:pStyle w:val="Heading1"/>
        <w:pBdr>
          <w:bottom w:val="single" w:color="F58220" w:sz="12" w:space="6"/>
        </w:pBdr>
        <w:spacing w:after="160" w:before="320"/>
      </w:pPr>
      <w:r>
        <w:rPr>
          <w:rFonts w:ascii="Calibri" w:cs="Calibri" w:eastAsia="Calibri" w:hAnsi="Calibri"/>
          <w:b/>
          <w:bCs/>
          <w:color w:val="00539B"/>
          <w:sz w:val="30"/>
          <w:szCs w:val="30"/>
        </w:rPr>
        <w:t xml:space="preserve">5. Entitlement and Activation Lifecycle</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1500"/>
        <w:gridCol w:w="4300"/>
        <w:gridCol w:w="3560"/>
      </w:tblGrid>
      <w:tr>
        <w:trPr>
          <w:tblHeader/>
        </w:trPr>
        <w:tc>
          <w:tcPr>
            <w:tcW w:type="dxa" w:w="15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State</w:t>
            </w:r>
          </w:p>
        </w:tc>
        <w:tc>
          <w:tcPr>
            <w:tcW w:type="dxa" w:w="4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Tenant experience</w:t>
            </w:r>
          </w:p>
        </w:tc>
        <w:tc>
          <w:tcPr>
            <w:tcW w:type="dxa" w:w="35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Data</w:t>
            </w:r>
          </w:p>
        </w:tc>
      </w:tr>
      <w:tr>
        <w:tc>
          <w:tcPr>
            <w:tcW w:type="dxa" w:w="1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No entitlement row</w:t>
            </w:r>
          </w:p>
        </w:tc>
        <w:tc>
          <w:tcPr>
            <w:tcW w:type="dxa" w:w="4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Module not visible anywhere in the product</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No rows readable</w:t>
            </w:r>
          </w:p>
        </w:tc>
      </w:tr>
      <w:tr>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trial</w:t>
            </w:r>
          </w:p>
        </w:tc>
        <w:tc>
          <w:tcPr>
            <w:tcW w:type="dxa" w:w="4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Full function, limits applied</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Full access</w:t>
            </w:r>
          </w:p>
        </w:tc>
      </w:tr>
      <w:tr>
        <w:tc>
          <w:tcPr>
            <w:tcW w:type="dxa" w:w="1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active</w:t>
            </w:r>
          </w:p>
        </w:tc>
        <w:tc>
          <w:tcPr>
            <w:tcW w:type="dxa" w:w="4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Full function</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Full access</w:t>
            </w:r>
          </w:p>
        </w:tc>
      </w:tr>
      <w:tr>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past_due</w:t>
            </w:r>
          </w:p>
        </w:tc>
        <w:tc>
          <w:tcPr>
            <w:tcW w:type="dxa" w:w="4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Full function, in-app notice</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Full access — do not punish a billing hiccup by hiding a live project</w:t>
            </w:r>
          </w:p>
        </w:tc>
      </w:tr>
      <w:tr>
        <w:tc>
          <w:tcPr>
            <w:tcW w:type="dxa" w:w="15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suspended</w:t>
            </w:r>
          </w:p>
        </w:tc>
        <w:tc>
          <w:tcPr>
            <w:tcW w:type="dxa" w:w="4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Read-only notice explaining the state, no data</w:t>
            </w:r>
          </w:p>
        </w:tc>
        <w:tc>
          <w:tcPr>
            <w:tcW w:type="dxa" w:w="35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No rows readable, entitlement row readable</w:t>
            </w:r>
          </w:p>
        </w:tc>
      </w:tr>
      <w:tr>
        <w:tc>
          <w:tcPr>
            <w:tcW w:type="dxa" w:w="15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cancelled</w:t>
            </w:r>
          </w:p>
        </w:tc>
        <w:tc>
          <w:tcPr>
            <w:tcW w:type="dxa" w:w="4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Same as suspended; export available on request for a defined window</w:t>
            </w:r>
          </w:p>
        </w:tc>
        <w:tc>
          <w:tcPr>
            <w:tcW w:type="dxa" w:w="35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No rows readable</w:t>
            </w:r>
          </w:p>
        </w:tc>
      </w:tr>
    </w:tbl>
    <w:p>
      <w:pPr>
        <w:spacing w:after="120" w:before="80" w:line="276"/>
      </w:pPr>
      <w:r>
        <w:rPr>
          <w:rFonts w:ascii="Calibri" w:cs="Calibri" w:eastAsia="Calibri" w:hAnsi="Calibri"/>
          <w:b w:val="false"/>
          <w:bCs w:val="false"/>
          <w:i w:val="false"/>
          <w:iCs w:val="false"/>
          <w:color w:val="1F2933"/>
          <w:sz w:val="21"/>
          <w:szCs w:val="21"/>
        </w:rPr>
        <w:t xml:space="preserve">past_due deliberately keeps full access. A contractor mid-project whose card expired should not lose the permit chain on an active job. Suspension is a decision someone makes, not something a failed payment does automatically.</w:t>
      </w:r>
    </w:p>
    <w:p>
      <w:pPr>
        <w:pStyle w:val="Heading2"/>
        <w:spacing w:after="100" w:before="240"/>
      </w:pPr>
      <w:r>
        <w:rPr>
          <w:rFonts w:ascii="Calibri" w:cs="Calibri" w:eastAsia="Calibri" w:hAnsi="Calibri"/>
          <w:b/>
          <w:bCs/>
          <w:color w:val="1F2933"/>
          <w:sz w:val="24"/>
          <w:szCs w:val="24"/>
        </w:rPr>
        <w:t xml:space="preserve">5.1 Activation</w:t>
      </w:r>
    </w:p>
    <w:p>
      <w:pPr>
        <w:spacing w:after="120" w:before="80" w:line="276"/>
      </w:pPr>
      <w:r>
        <w:rPr>
          <w:rFonts w:ascii="Calibri" w:cs="Calibri" w:eastAsia="Calibri" w:hAnsi="Calibri"/>
          <w:b w:val="false"/>
          <w:bCs w:val="false"/>
          <w:i w:val="false"/>
          <w:iCs w:val="false"/>
          <w:color w:val="1F2933"/>
          <w:sz w:val="21"/>
          <w:szCs w:val="21"/>
        </w:rPr>
        <w:t xml:space="preserve">activate_tenant() seeds compliance requirements, gate templates, and the permit milestone template. The application separately seeds the shipped cost code library into the tenant’s own table. Every customer starts configured and immediately diverges without affecting anyone else.</w:t>
      </w:r>
    </w:p>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6. Packaging and Pricing</w:t>
      </w:r>
    </w:p>
    <w:p>
      <w:pPr>
        <w:spacing w:after="120" w:before="80" w:line="276"/>
      </w:pPr>
      <w:r>
        <w:rPr>
          <w:rFonts w:ascii="Calibri" w:cs="Calibri" w:eastAsia="Calibri" w:hAnsi="Calibri"/>
          <w:b w:val="false"/>
          <w:bCs w:val="false"/>
          <w:i w:val="false"/>
          <w:iCs w:val="false"/>
          <w:color w:val="1F2933"/>
          <w:sz w:val="21"/>
          <w:szCs w:val="21"/>
        </w:rPr>
        <w:t xml:space="preserve">Once this is a SKU rather than an internal tool, it has commercial consequences that should be decided now rather than at launch.</w:t>
      </w:r>
    </w:p>
    <w:p>
      <w:pPr>
        <w:pStyle w:val="Heading2"/>
        <w:spacing w:after="100" w:before="240"/>
      </w:pPr>
      <w:r>
        <w:rPr>
          <w:rFonts w:ascii="Calibri" w:cs="Calibri" w:eastAsia="Calibri" w:hAnsi="Calibri"/>
          <w:b/>
          <w:bCs/>
          <w:color w:val="1F2933"/>
          <w:sz w:val="24"/>
          <w:szCs w:val="24"/>
        </w:rPr>
        <w:t xml:space="preserve">6.1 Structural questions to settle</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700"/>
        <w:gridCol w:w="4300"/>
        <w:gridCol w:w="4360"/>
      </w:tblGrid>
      <w:tr>
        <w:trPr>
          <w:tblHeader/>
        </w:trPr>
        <w:tc>
          <w:tcPr>
            <w:tcW w:type="dxa" w:w="7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w:t>
            </w:r>
          </w:p>
        </w:tc>
        <w:tc>
          <w:tcPr>
            <w:tcW w:type="dxa" w:w="43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Question</w:t>
            </w:r>
          </w:p>
        </w:tc>
        <w:tc>
          <w:tcPr>
            <w:tcW w:type="dxa" w:w="43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Why it matters now</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1</w:t>
            </w:r>
          </w:p>
        </w:tc>
        <w:tc>
          <w:tcPr>
            <w:tcW w:type="dxa" w:w="4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Priced per business unit like the estimating base, or per active project, or per internal seat?</w:t>
            </w:r>
          </w:p>
        </w:tc>
        <w:tc>
          <w:tcPr>
            <w:tcW w:type="dxa" w:w="43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Determines whether entitlements needs metering, which is a build decision not a pricing decision</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2</w:t>
            </w:r>
          </w:p>
        </w:tc>
        <w:tc>
          <w:tcPr>
            <w:tcW w:type="dxa" w:w="4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Are subcontractor portal users free and unlimited?</w:t>
            </w:r>
          </w:p>
        </w:tc>
        <w:tc>
          <w:tcPr>
            <w:tcW w:type="dxa" w:w="43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This is JobTread’s strongest differentiator. Charging for portal seats concedes it. The schema supports a limit; the default should probably be null.</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3</w:t>
            </w:r>
          </w:p>
        </w:tc>
        <w:tc>
          <w:tcPr>
            <w:tcW w:type="dxa" w:w="4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Can a customer license Projects without licensing estimating?</w:t>
            </w:r>
          </w:p>
        </w:tc>
        <w:tc>
          <w:tcPr>
            <w:tcW w:type="dxa" w:w="43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Changes the addressable market substantially and is already supported by the schema</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4</w:t>
            </w:r>
          </w:p>
        </w:tc>
        <w:tc>
          <w:tcPr>
            <w:tcW w:type="dxa" w:w="43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Is there an active project limit on lower tiers?</w:t>
            </w:r>
          </w:p>
        </w:tc>
        <w:tc>
          <w:tcPr>
            <w:tcW w:type="dxa" w:w="43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Cheapest honest way to tier a project module. Column exists; policy does not.</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5</w:t>
            </w:r>
          </w:p>
        </w:tc>
        <w:tc>
          <w:tcPr>
            <w:tcW w:type="dxa" w:w="43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What happens to data on cancellation, and for how long?</w:t>
            </w:r>
          </w:p>
        </w:tc>
        <w:tc>
          <w:tcPr>
            <w:tcW w:type="dxa" w:w="43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Say it in the contract before the first customer asks under pressure</w:t>
            </w:r>
          </w:p>
        </w:tc>
      </w:tr>
    </w:tbl>
    <w:p>
      <w:pPr>
        <w:pStyle w:val="Heading2"/>
        <w:spacing w:after="100" w:before="240"/>
      </w:pPr>
      <w:r>
        <w:rPr>
          <w:rFonts w:ascii="Calibri" w:cs="Calibri" w:eastAsia="Calibri" w:hAnsi="Calibri"/>
          <w:b/>
          <w:bCs/>
          <w:color w:val="1F2933"/>
          <w:sz w:val="24"/>
          <w:szCs w:val="24"/>
        </w:rPr>
        <w:t xml:space="preserve">6.2 One caution on the margin model</w:t>
      </w:r>
    </w:p>
    <w:p>
      <w:pPr>
        <w:spacing w:after="120" w:before="80" w:line="276"/>
      </w:pPr>
      <w:r>
        <w:rPr>
          <w:rFonts w:ascii="Calibri" w:cs="Calibri" w:eastAsia="Calibri" w:hAnsi="Calibri"/>
          <w:b w:val="false"/>
          <w:bCs w:val="false"/>
          <w:i w:val="false"/>
          <w:iCs w:val="false"/>
          <w:color w:val="1F2933"/>
          <w:sz w:val="21"/>
          <w:szCs w:val="21"/>
        </w:rPr>
        <w:t xml:space="preserve">A project management module carries materially higher support cost than an estimating tool. Estimating is used by one or two people per customer who learn it once. A project module is used daily by project managers, office staff, and external subcontractors who did not choose your software and will call when a login fails. Portal password resets alone will generate real ticket volume.</w:t>
      </w:r>
    </w:p>
    <w:p>
      <w:pPr>
        <w:spacing w:after="120" w:before="80" w:line="276"/>
      </w:pPr>
      <w:r>
        <w:rPr>
          <w:rFonts w:ascii="Calibri" w:cs="Calibri" w:eastAsia="Calibri" w:hAnsi="Calibri"/>
          <w:b w:val="false"/>
          <w:bCs w:val="false"/>
          <w:i w:val="false"/>
          <w:iCs w:val="false"/>
          <w:color w:val="1F2933"/>
          <w:sz w:val="21"/>
          <w:szCs w:val="21"/>
        </w:rPr>
        <w:t xml:space="preserve">The existing Journeyman margin model was built on estimating economics. Before this module is priced, re-run the support cost assumption with a per-customer ticket estimate that accounts for external portal users. The gross margin on this SKU will not match the estimating SKU, and pricing it as though it does is the error to avoid.</w:t>
      </w:r>
    </w:p>
    <w:p>
      <w:pPr>
        <w:pStyle w:val="Heading1"/>
        <w:pBdr>
          <w:bottom w:val="single" w:color="F58220" w:sz="12" w:space="6"/>
        </w:pBdr>
        <w:spacing w:after="160" w:before="320"/>
      </w:pPr>
      <w:r>
        <w:rPr>
          <w:rFonts w:ascii="Calibri" w:cs="Calibri" w:eastAsia="Calibri" w:hAnsi="Calibri"/>
          <w:b/>
          <w:bCs/>
          <w:color w:val="00539B"/>
          <w:sz w:val="30"/>
          <w:szCs w:val="30"/>
        </w:rPr>
        <w:t xml:space="preserve">7. Cost of the Module Approach</w:t>
      </w:r>
    </w:p>
    <w:p>
      <w:pPr>
        <w:spacing w:after="120" w:before="80" w:line="276"/>
      </w:pPr>
      <w:r>
        <w:rPr>
          <w:rFonts w:ascii="Calibri" w:cs="Calibri" w:eastAsia="Calibri" w:hAnsi="Calibri"/>
          <w:b w:val="false"/>
          <w:bCs w:val="false"/>
          <w:i w:val="false"/>
          <w:iCs w:val="false"/>
          <w:color w:val="1F2933"/>
          <w:sz w:val="21"/>
          <w:szCs w:val="21"/>
        </w:rPr>
        <w:t xml:space="preserve">Multi-tenancy, entitlement, adapter abstraction, and per-tenant configuration are not free. Honest delta against the single-tenant build previously specified:</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3000"/>
        <w:gridCol w:w="1700"/>
        <w:gridCol w:w="4660"/>
      </w:tblGrid>
      <w:tr>
        <w:trPr>
          <w:tblHeader/>
        </w:trPr>
        <w:tc>
          <w:tcPr>
            <w:tcW w:type="dxa" w:w="30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Addition</w:t>
            </w:r>
          </w:p>
        </w:tc>
        <w:tc>
          <w:tcPr>
            <w:tcW w:type="dxa" w:w="17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Extra effort</w:t>
            </w:r>
          </w:p>
        </w:tc>
        <w:tc>
          <w:tcPr>
            <w:tcW w:type="dxa" w:w="46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Note</w:t>
            </w:r>
          </w:p>
        </w:tc>
      </w:tr>
      <w:tr>
        <w:tc>
          <w:tcPr>
            <w:tcW w:type="dxa" w:w="30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Tenancy and RLS across all tables</w:t>
            </w:r>
          </w:p>
        </w:tc>
        <w:tc>
          <w:tcPr>
            <w:tcW w:type="dxa" w:w="17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25–35 h</w:t>
            </w:r>
          </w:p>
        </w:tc>
        <w:tc>
          <w:tcPr>
            <w:tcW w:type="dxa" w:w="46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Mostly mechanical, but the test suite to prove isolation is not</w:t>
            </w:r>
          </w:p>
        </w:tc>
      </w:tr>
      <w:tr>
        <w:tc>
          <w:tcPr>
            <w:tcW w:type="dxa" w:w="30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Entitlement gating and lifecycle</w:t>
            </w:r>
          </w:p>
        </w:tc>
        <w:tc>
          <w:tcPr>
            <w:tcW w:type="dxa" w:w="17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15–25 h</w:t>
            </w:r>
          </w:p>
        </w:tc>
        <w:tc>
          <w:tcPr>
            <w:tcW w:type="dxa" w:w="46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Including the states in Section 5</w:t>
            </w:r>
          </w:p>
        </w:tc>
      </w:tr>
      <w:tr>
        <w:tc>
          <w:tcPr>
            <w:tcW w:type="dxa" w:w="30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External system adapter abstraction</w:t>
            </w:r>
          </w:p>
        </w:tc>
        <w:tc>
          <w:tcPr>
            <w:tcW w:type="dxa" w:w="17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30–45 h</w:t>
            </w:r>
          </w:p>
        </w:tc>
        <w:tc>
          <w:tcPr>
            <w:tcW w:type="dxa" w:w="46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Two implementations minimum: ServiceTitan and manual</w:t>
            </w:r>
          </w:p>
        </w:tc>
      </w:tr>
      <w:tr>
        <w:tc>
          <w:tcPr>
            <w:tcW w:type="dxa" w:w="30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Per-tenant configuration surfaces</w:t>
            </w:r>
          </w:p>
        </w:tc>
        <w:tc>
          <w:tcPr>
            <w:tcW w:type="dxa" w:w="17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30–45 h</w:t>
            </w:r>
          </w:p>
        </w:tc>
        <w:tc>
          <w:tcPr>
            <w:tcW w:type="dxa" w:w="46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Cost codes, gates, compliance requirements, milestone templates all become editable</w:t>
            </w:r>
          </w:p>
        </w:tc>
      </w:tr>
      <w:tr>
        <w:tc>
          <w:tcPr>
            <w:tcW w:type="dxa" w:w="30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Estimate contract and validation</w:t>
            </w:r>
          </w:p>
        </w:tc>
        <w:tc>
          <w:tcPr>
            <w:tcW w:type="dxa" w:w="17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15–20 h</w:t>
            </w:r>
          </w:p>
        </w:tc>
        <w:tc>
          <w:tcPr>
            <w:tcW w:type="dxa" w:w="46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Plus the boundary test in Section 3.1</w:t>
            </w:r>
          </w:p>
        </w:tc>
      </w:tr>
      <w:tr>
        <w:tc>
          <w:tcPr>
            <w:tcW w:type="dxa" w:w="30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Cross-tenant isolation test suite</w:t>
            </w:r>
          </w:p>
        </w:tc>
        <w:tc>
          <w:tcPr>
            <w:tcW w:type="dxa" w:w="17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20–30 h</w:t>
            </w:r>
          </w:p>
        </w:tc>
        <w:tc>
          <w:tcPr>
            <w:tcW w:type="dxa" w:w="46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Non-negotiable before a second customer exists</w:t>
            </w:r>
          </w:p>
        </w:tc>
      </w:tr>
      <w:tr>
        <w:tc>
          <w:tcPr>
            <w:tcW w:type="dxa" w:w="30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TOTAL DELTA</w:t>
            </w:r>
          </w:p>
        </w:tc>
        <w:tc>
          <w:tcPr>
            <w:tcW w:type="dxa" w:w="17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135–200 h</w:t>
            </w:r>
          </w:p>
        </w:tc>
        <w:tc>
          <w:tcPr>
            <w:tcW w:type="dxa" w:w="46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On top of the 280–360 h single-tenant estimate</w:t>
            </w:r>
          </w:p>
        </w:tc>
      </w:tr>
    </w:tbl>
    <w:tbl>
      <w:tblPr>
        <w:tblW w:type="dxa" w:w="9360"/>
        <w:tblBorders>
          <w:top w:val="none"/>
          <w:left w:val="single" w:color="F58220" w:sz="18"/>
          <w:bottom w:val="none"/>
          <w:right w:val="none"/>
          <w:insideH w:val="none"/>
          <w:insideV w:val="none"/>
        </w:tblBorders>
      </w:tblPr>
      <w:tblGrid>
        <w:gridCol w:w="9360"/>
      </w:tblGrid>
      <w:tr>
        <w:tc>
          <w:tcPr>
            <w:tcW w:type="dxa" w:w="9360"/>
            <w:shd w:fill="FDF0E4" w:color="auto" w:val="clear"/>
            <w:tcMar>
              <w:top w:type="dxa" w:w="140"/>
              <w:left w:type="dxa" w:w="180"/>
              <w:bottom w:type="dxa" w:w="140"/>
              <w:right w:type="dxa" w:w="180"/>
            </w:tcMar>
          </w:tcPr>
          <w:p>
            <w:pPr>
              <w:spacing w:after="60"/>
            </w:pPr>
            <w:r>
              <w:rPr>
                <w:rFonts w:ascii="Calibri" w:cs="Calibri" w:eastAsia="Calibri" w:hAnsi="Calibri"/>
                <w:b/>
                <w:bCs/>
                <w:color w:val="1F2933"/>
                <w:sz w:val="21"/>
                <w:szCs w:val="21"/>
              </w:rPr>
              <w:t xml:space="preserve">This is the price of the option, and it is worth paying only under one condition</w:t>
            </w:r>
          </w:p>
          <w:p>
            <w:pPr>
              <w:spacing w:after="40"/>
            </w:pPr>
            <w:r>
              <w:rPr>
                <w:rFonts w:ascii="Calibri" w:cs="Calibri" w:eastAsia="Calibri" w:hAnsi="Calibri"/>
                <w:color w:val="1F2933"/>
                <w:sz w:val="20"/>
                <w:szCs w:val="20"/>
              </w:rPr>
              <w:t xml:space="preserve">The delta roughly doubles the build. That is defensible if Journeyman Projects is genuinely going to be sold, and indefensible if it quietly becomes an internal tool with multi-tenancy nobody uses.</w:t>
            </w:r>
          </w:p>
          <w:p>
            <w:pPr>
              <w:spacing w:after="40"/>
            </w:pPr>
            <w:r>
              <w:rPr>
                <w:rFonts w:ascii="Calibri" w:cs="Calibri" w:eastAsia="Calibri" w:hAnsi="Calibri"/>
                <w:color w:val="1F2933"/>
                <w:sz w:val="20"/>
                <w:szCs w:val="20"/>
              </w:rPr>
              <w:t xml:space="preserve">The test: is there a named prospective customer other than Mr. Handyman who would pay for this module in its first year? If the honest answer is no, build the single-tenant version, run it, and refactor to multi-tenant when a second customer exists. Refactoring a working system with real data is harder than building it right, but it is cheaper than building for a market that has not been validated.</w:t>
            </w:r>
          </w:p>
        </w:tc>
      </w:tr>
    </w:tbl>
    <w:p>
      <w:r>
        <w:br w:type="page"/>
      </w:r>
    </w:p>
    <w:p>
      <w:pPr>
        <w:pStyle w:val="Heading1"/>
        <w:pBdr>
          <w:bottom w:val="single" w:color="F58220" w:sz="12" w:space="6"/>
        </w:pBdr>
        <w:spacing w:after="160" w:before="320"/>
      </w:pPr>
      <w:r>
        <w:rPr>
          <w:rFonts w:ascii="Calibri" w:cs="Calibri" w:eastAsia="Calibri" w:hAnsi="Calibri"/>
          <w:b/>
          <w:bCs/>
          <w:color w:val="00539B"/>
          <w:sz w:val="30"/>
          <w:szCs w:val="30"/>
        </w:rPr>
        <w:t xml:space="preserve">8. Revised Next Steps</w:t>
      </w:r>
    </w:p>
    <w:tbl>
      <w:tblPr>
        <w:tblW w:type="dxa" w:w="9360"/>
        <w:tblBorders>
          <w:top w:val="single" w:color="C9D4E0" w:sz="2"/>
          <w:left w:val="single" w:color="C9D4E0" w:sz="2"/>
          <w:bottom w:val="single" w:color="C9D4E0" w:sz="2"/>
          <w:right w:val="single" w:color="C9D4E0" w:sz="2"/>
          <w:insideH w:val="single" w:color="D9E2EC" w:sz="2"/>
          <w:insideV w:val="single" w:color="D9E2EC" w:sz="2"/>
        </w:tblBorders>
      </w:tblPr>
      <w:tblGrid>
        <w:gridCol w:w="700"/>
        <w:gridCol w:w="6400"/>
        <w:gridCol w:w="2260"/>
      </w:tblGrid>
      <w:tr>
        <w:trPr>
          <w:tblHeader/>
        </w:trPr>
        <w:tc>
          <w:tcPr>
            <w:tcW w:type="dxa" w:w="7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w:t>
            </w:r>
          </w:p>
        </w:tc>
        <w:tc>
          <w:tcPr>
            <w:tcW w:type="dxa" w:w="640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Action</w:t>
            </w:r>
          </w:p>
        </w:tc>
        <w:tc>
          <w:tcPr>
            <w:tcW w:type="dxa" w:w="2260"/>
            <w:shd w:fill="00539B" w:color="auto" w:val="clear"/>
            <w:tcMar>
              <w:top w:type="dxa" w:w="60"/>
              <w:left w:type="dxa" w:w="110"/>
              <w:bottom w:type="dxa" w:w="60"/>
              <w:right w:type="dxa" w:w="110"/>
            </w:tcMar>
          </w:tcPr>
          <w:p>
            <w:pPr>
              <w:spacing w:after="40" w:before="40"/>
            </w:pPr>
            <w:r>
              <w:rPr>
                <w:rFonts w:ascii="Calibri" w:cs="Calibri" w:eastAsia="Calibri" w:hAnsi="Calibri"/>
                <w:b/>
                <w:bCs/>
                <w:color w:val="FFFFFF"/>
                <w:sz w:val="19"/>
                <w:szCs w:val="19"/>
              </w:rPr>
              <w:t xml:space="preserve">Owner</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1</w:t>
            </w:r>
          </w:p>
        </w:tc>
        <w:tc>
          <w:tcPr>
            <w:tcW w:type="dxa" w:w="64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Confirm or correct the interpretation in Section 1.1, especially whether Projects can be licensed without estimating</w:t>
            </w:r>
          </w:p>
        </w:tc>
        <w:tc>
          <w:tcPr>
            <w:tcW w:type="dxa" w:w="22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Mason</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2</w:t>
            </w:r>
          </w:p>
        </w:tc>
        <w:tc>
          <w:tcPr>
            <w:tcW w:type="dxa" w:w="64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Answer the five packaging questions in Section 6.1 — they are build decisions wearing pricing clothes</w:t>
            </w:r>
          </w:p>
        </w:tc>
        <w:tc>
          <w:tcPr>
            <w:tcW w:type="dxa" w:w="2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Mason + members</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3</w:t>
            </w:r>
          </w:p>
        </w:tc>
        <w:tc>
          <w:tcPr>
            <w:tcW w:type="dxa" w:w="64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Name one prospective customer other than Mr. Handyman. If none, build single-tenant first</w:t>
            </w:r>
          </w:p>
        </w:tc>
        <w:tc>
          <w:tcPr>
            <w:tcW w:type="dxa" w:w="22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Mason</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4</w:t>
            </w:r>
          </w:p>
        </w:tc>
        <w:tc>
          <w:tcPr>
            <w:tcW w:type="dxa" w:w="64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Re-run the Journeyman margin model with portal-inclusive support cost before pricing this SKU</w:t>
            </w:r>
          </w:p>
        </w:tc>
        <w:tc>
          <w:tcPr>
            <w:tcW w:type="dxa" w:w="2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Mason</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5</w:t>
            </w:r>
          </w:p>
        </w:tc>
        <w:tc>
          <w:tcPr>
            <w:tcW w:type="dxa" w:w="64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Run journeyman_projects_schema.sql against a scratch database; correct what the first run finds</w:t>
            </w:r>
          </w:p>
        </w:tc>
        <w:tc>
          <w:tcPr>
            <w:tcW w:type="dxa" w:w="22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CODE</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6</w:t>
            </w:r>
          </w:p>
        </w:tc>
        <w:tc>
          <w:tcPr>
            <w:tcW w:type="dxa" w:w="64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Write the boundary test from Section 3.1 and the cross-tenant isolation test before any feature work</w:t>
            </w:r>
          </w:p>
        </w:tc>
        <w:tc>
          <w:tcPr>
            <w:tcW w:type="dxa" w:w="2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CODE</w:t>
            </w:r>
          </w:p>
        </w:tc>
      </w:tr>
      <w:tr>
        <w:tc>
          <w:tcPr>
            <w:tcW w:type="dxa" w:w="700"/>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7</w:t>
            </w:r>
          </w:p>
        </w:tc>
        <w:tc>
          <w:tcPr>
            <w:tcW w:type="dxa" w:w="640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Build the manual adapter before the ServiceTitan adapter, so degradation is the default path not the fallback</w:t>
            </w:r>
          </w:p>
        </w:tc>
        <w:tc>
          <w:tcPr>
            <w:tcW w:type="dxa" w:w="2260"/>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CODE</w:t>
            </w:r>
          </w:p>
        </w:tc>
      </w:tr>
      <w:tr>
        <w:tc>
          <w:tcPr>
            <w:tcW w:type="dxa" w:w="700"/>
            <w:shd w:fill="F7F9FC" w:color="auto" w:val="clear"/>
            <w:tcMar>
              <w:top w:type="dxa" w:w="60"/>
              <w:left w:type="dxa" w:w="110"/>
              <w:bottom w:type="dxa" w:w="60"/>
              <w:right w:type="dxa" w:w="110"/>
            </w:tcMar>
          </w:tcPr>
          <w:p>
            <w:pPr>
              <w:spacing w:after="40" w:before="40"/>
            </w:pPr>
            <w:r>
              <w:rPr>
                <w:rFonts w:ascii="Calibri" w:cs="Calibri" w:eastAsia="Calibri" w:hAnsi="Calibri"/>
                <w:b/>
                <w:bCs/>
                <w:color w:val="1F2933"/>
                <w:sz w:val="19"/>
                <w:szCs w:val="19"/>
              </w:rPr>
              <w:t xml:space="preserve">8</w:t>
            </w:r>
          </w:p>
        </w:tc>
        <w:tc>
          <w:tcPr>
            <w:tcW w:type="dxa" w:w="640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Amend the Mr. Handyman SOP to use the product vocabulary, keeping Tier 3 as internal classification only</w:t>
            </w:r>
          </w:p>
        </w:tc>
        <w:tc>
          <w:tcPr>
            <w:tcW w:type="dxa" w:w="2260"/>
            <w:shd w:fill="F7F9FC" w:color="auto" w:val="clear"/>
            <w:tcMar>
              <w:top w:type="dxa" w:w="60"/>
              <w:left w:type="dxa" w:w="110"/>
              <w:bottom w:type="dxa" w:w="60"/>
              <w:right w:type="dxa" w:w="110"/>
            </w:tcMar>
          </w:tcPr>
          <w:p>
            <w:pPr>
              <w:spacing w:after="40" w:before="40"/>
            </w:pPr>
            <w:r>
              <w:rPr>
                <w:rFonts w:ascii="Calibri" w:cs="Calibri" w:eastAsia="Calibri" w:hAnsi="Calibri"/>
                <w:b w:val="false"/>
                <w:bCs w:val="false"/>
                <w:color w:val="1F2933"/>
                <w:sz w:val="19"/>
                <w:szCs w:val="19"/>
              </w:rPr>
              <w:t xml:space="preserve">Mason</w:t>
            </w:r>
          </w:p>
        </w:tc>
      </w:tr>
    </w:tbl>
    <w:p>
      <w:pPr>
        <w:spacing w:after="120" w:before="80" w:line="276"/>
      </w:pPr>
      <w:r>
        <w:rPr>
          <w:rFonts w:ascii="Calibri" w:cs="Calibri" w:eastAsia="Calibri" w:hAnsi="Calibri"/>
          <w:b w:val="false"/>
          <w:bCs w:val="false"/>
          <w:i/>
          <w:iCs/>
          <w:color w:val="6B7280"/>
          <w:sz w:val="20"/>
          <w:szCs w:val="20"/>
        </w:rPr>
        <w:t xml:space="preserve">Schema note: journeyman_projects_schema.sql was written and statically reviewed but not executed against a live PostgreSQL instance, as none was available in the environment where it was produced. The RLS block, the entitlement predicate, and the trigger logic are the parts worth reviewing carefully. Syntax errors will announce themselves on first run.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Journeyman Systems LLC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jc w:val="right"/>
    </w:pPr>
    <w:r>
      <w:rPr>
        <w:rFonts w:ascii="Calibri" w:cs="Calibri" w:eastAsia="Calibri" w:hAnsi="Calibri"/>
        <w:color w:val="6B7280"/>
        <w:sz w:val="16"/>
        <w:szCs w:val="16"/>
      </w:rPr>
      <w:t xml:space="preserve">Journeyman Projects · Module Architecture Addendum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Journeyman Projects — Module Architecture Addendum</dc:title>
  <dc:creator>Mason Holloway</dc:creator>
  <cp:lastModifiedBy>Un-named</cp:lastModifiedBy>
  <cp:revision>1</cp:revision>
  <dcterms:created xsi:type="dcterms:W3CDTF">2026-08-05T17:20:13.102Z</dcterms:created>
  <dcterms:modified xsi:type="dcterms:W3CDTF">2026-08-05T17:20:13.116Z</dcterms:modified>
</cp:coreProperties>
</file>

<file path=docProps/custom.xml><?xml version="1.0" encoding="utf-8"?>
<Properties xmlns="http://schemas.openxmlformats.org/officeDocument/2006/custom-properties" xmlns:vt="http://schemas.openxmlformats.org/officeDocument/2006/docPropsVTypes"/>
</file>