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94F4D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容量负载率数据检查</w:t>
      </w:r>
    </w:p>
    <w:p w14:paraId="7798D745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1、（已处理）周报-列表-ups生产用途(套)可跳转后【容量-负载率明细-当前负载率汇总报表】带添加省或省市、站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46BAFE"/>
          <w:spacing w:val="0"/>
          <w:w w:val="100"/>
          <w:sz w:val="21"/>
          <w:szCs w:val="21"/>
          <w:shd w:val="clear" w:fill="FFFFFF"/>
          <w:vertAlign w:val="baseline"/>
        </w:rPr>
        <w:t>点类型选数据中心和通信枢纽楼，系统类型选对应系统，用途选生产用（主设备用电）</w:t>
      </w:r>
    </w:p>
    <w:p w14:paraId="0ADF4678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eastAsiaTheme="minorEastAsia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  <w:r>
        <w:drawing>
          <wp:inline distT="0" distB="0" distL="114300" distR="114300">
            <wp:extent cx="5270500" cy="2612390"/>
            <wp:effectExtent l="0" t="0" r="6350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605405"/>
            <wp:effectExtent l="0" t="0" r="698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74EBC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9948260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</w:pPr>
    </w:p>
    <w:p w14:paraId="73A05103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</w:p>
    <w:p w14:paraId="61310113">
      <w:pPr>
        <w:pStyle w:val="2"/>
        <w:keepNext w:val="0"/>
        <w:keepLines w:val="0"/>
        <w:widowControl/>
        <w:numPr>
          <w:numId w:val="0"/>
        </w:numPr>
        <w:suppressLineNumbers w:val="0"/>
        <w:spacing w:before="60" w:beforeAutospacing="0" w:after="60" w:afterAutospacing="0"/>
        <w:ind w:leftChars="0" w:right="0" w:rightChars="0"/>
        <w:jc w:val="both"/>
      </w:pPr>
      <w:r>
        <w:t xml:space="preserve"> </w:t>
      </w:r>
      <w:r>
        <w:rPr>
          <w:rFonts w:hint="eastAsia"/>
          <w:lang w:val="en-US" w:eastAsia="zh-CN"/>
        </w:rPr>
        <w:t>2、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（已处理）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周报-明细-站点-</w:t>
      </w:r>
      <w:r>
        <w:rPr>
          <w:rFonts w:ascii="monospace" w:hAnsi="monospace" w:eastAsia="monospace" w:cs="monospace"/>
          <w:b w:val="0"/>
          <w:bCs w:val="0"/>
          <w:i w:val="0"/>
          <w:iCs w:val="0"/>
          <w:color w:val="1F1F1F"/>
          <w:spacing w:val="0"/>
          <w:w w:val="100"/>
          <w:sz w:val="18"/>
          <w:szCs w:val="18"/>
          <w:shd w:val="clear" w:fill="FFFFFF"/>
          <w:vertAlign w:val="baseline"/>
        </w:rPr>
        <w:t>【</w:t>
      </w:r>
      <w:r>
        <w:rPr>
          <w:rFonts w:hint="default" w:ascii="monospace" w:hAnsi="monospace" w:eastAsia="monospace" w:cs="monospace"/>
          <w:b w:val="0"/>
          <w:bCs w:val="0"/>
          <w:i w:val="0"/>
          <w:iCs w:val="0"/>
          <w:color w:val="1F1F1F"/>
          <w:spacing w:val="0"/>
          <w:w w:val="100"/>
          <w:sz w:val="18"/>
          <w:szCs w:val="18"/>
          <w:shd w:val="clear" w:fill="FFFFFF"/>
          <w:vertAlign w:val="baseline"/>
        </w:rPr>
        <w:t>额定容量空缺、子设备类型错误、系统名称空缺、待完善数】可跳转到【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配置-设备系统-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46BAFE"/>
          <w:spacing w:val="0"/>
          <w:w w:val="100"/>
          <w:sz w:val="21"/>
          <w:szCs w:val="21"/>
          <w:shd w:val="clear" w:fill="FFFFFF"/>
          <w:vertAlign w:val="baseline"/>
        </w:rPr>
        <w:t>未配置设备</w:t>
      </w:r>
      <w:r>
        <w:rPr>
          <w:rFonts w:hint="default" w:ascii="monospace" w:hAnsi="monospace" w:eastAsia="monospace" w:cs="monospace"/>
          <w:b w:val="0"/>
          <w:bCs w:val="0"/>
          <w:i w:val="0"/>
          <w:iCs w:val="0"/>
          <w:color w:val="1F1F1F"/>
          <w:spacing w:val="0"/>
          <w:w w:val="100"/>
          <w:sz w:val="18"/>
          <w:szCs w:val="18"/>
          <w:shd w:val="clear" w:fill="FFFFFF"/>
          <w:vertAlign w:val="baseline"/>
        </w:rPr>
        <w:t xml:space="preserve">】 如果设备类型能带也带过来 </w:t>
      </w:r>
      <w:r>
        <w:rPr>
          <w:rFonts w:hint="default" w:ascii="monospace" w:hAnsi="monospace" w:eastAsia="monospace" w:cs="monospace"/>
          <w:b w:val="0"/>
          <w:bCs w:val="0"/>
          <w:i w:val="0"/>
          <w:iCs w:val="0"/>
          <w:color w:val="FF0000"/>
          <w:spacing w:val="0"/>
          <w:w w:val="100"/>
          <w:sz w:val="18"/>
          <w:szCs w:val="18"/>
          <w:shd w:val="clear" w:fill="FFFFFF"/>
          <w:vertAlign w:val="baseline"/>
        </w:rPr>
        <w:t>----无设备类型</w:t>
      </w:r>
    </w:p>
    <w:p w14:paraId="2B37029A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</w:p>
    <w:p w14:paraId="2C41A7FC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64150" cy="1784350"/>
            <wp:effectExtent l="0" t="0" r="1270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6954A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/>
          <w:lang w:val="en-US"/>
        </w:rPr>
      </w:pPr>
      <w:r>
        <w:drawing>
          <wp:inline distT="0" distB="0" distL="114300" distR="114300">
            <wp:extent cx="5264150" cy="2263775"/>
            <wp:effectExtent l="0" t="0" r="1270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22045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page"/>
      </w:r>
    </w:p>
    <w:p w14:paraId="6AF44224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3、周报-明细-2个额定容量，可跳转到机楼-容量明细-过滤为最大（平均）负载率 ，若新增-导出-导出数据-需要带条件-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最大负载率 平均负载率 最小负载率）</w:t>
      </w:r>
    </w:p>
    <w:p w14:paraId="34FE12E5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导出未带(接口未处理)</w:t>
      </w:r>
    </w:p>
    <w:p w14:paraId="3E5DE40A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平台接入周报-容量负载率-列表-ups已用最大容量(KVA)</w:t>
      </w:r>
    </w:p>
    <w:p w14:paraId="0A8B92BF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平台接入周报-容量负载率-列表-ups最大负载率</w:t>
      </w:r>
    </w:p>
    <w:p w14:paraId="3BB84618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3E1B124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平台接入周报-容量负载率-列表-ups已用平均容量(KVA)</w:t>
      </w:r>
    </w:p>
    <w:p w14:paraId="5631CA78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平台接入周报-容量负载率-列表-ups平均负载率</w:t>
      </w:r>
    </w:p>
    <w:p w14:paraId="6D68D7C7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  <w:r>
        <w:drawing>
          <wp:inline distT="0" distB="0" distL="114300" distR="114300">
            <wp:extent cx="5266690" cy="2221865"/>
            <wp:effectExtent l="0" t="0" r="1016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172970"/>
            <wp:effectExtent l="0" t="0" r="14605" b="177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DE067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</w:p>
    <w:p w14:paraId="3577BA62">
      <w:pPr>
        <w:pStyle w:val="2"/>
        <w:keepNext w:val="0"/>
        <w:keepLines w:val="0"/>
        <w:widowControl/>
        <w:numPr>
          <w:numId w:val="0"/>
        </w:numPr>
        <w:suppressLineNumbers w:val="0"/>
        <w:spacing w:before="60" w:beforeAutospacing="0" w:after="60" w:afterAutospacing="0"/>
        <w:ind w:leftChars="0" w:right="0" w:rightChars="0"/>
        <w:jc w:val="both"/>
      </w:pPr>
      <w:r>
        <w:rPr>
          <w:rFonts w:hint="eastAsia"/>
          <w:lang w:val="en-US" w:eastAsia="zh-CN"/>
        </w:rPr>
        <w:t>4、</w:t>
      </w:r>
      <w:r>
        <w:t xml:space="preserve"> 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（已处理）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列表-ups红色预警数(套)列，可以跳转到【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46BAFE"/>
          <w:spacing w:val="0"/>
          <w:w w:val="100"/>
          <w:sz w:val="21"/>
          <w:szCs w:val="21"/>
          <w:shd w:val="clear" w:fill="FFFFFF"/>
          <w:vertAlign w:val="baseline"/>
        </w:rPr>
        <w:t>容量-负载率明细-当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46BAFE"/>
          <w:spacing w:val="0"/>
          <w:w w:val="100"/>
          <w:sz w:val="21"/>
          <w:szCs w:val="21"/>
          <w:shd w:val="clear" w:fill="FFFFFF"/>
          <w:vertAlign w:val="baseline"/>
        </w:rPr>
        <w:t>前负载率汇总报表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】</w:t>
      </w:r>
    </w:p>
    <w:p w14:paraId="1D5B25D3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带入条件、省或省市、站点类型选数据中心和通信枢纽楼，系统类型选对应系统，负载率范围-红色预警</w:t>
      </w:r>
    </w:p>
    <w:p w14:paraId="49034C97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4150" cy="2484120"/>
            <wp:effectExtent l="0" t="0" r="12700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7E64E">
      <w:r>
        <w:br w:type="page"/>
      </w:r>
    </w:p>
    <w:p w14:paraId="36749CCD">
      <w:pPr>
        <w:pStyle w:val="2"/>
        <w:keepNext w:val="0"/>
        <w:keepLines w:val="0"/>
        <w:widowControl/>
        <w:numPr>
          <w:numId w:val="0"/>
        </w:numPr>
        <w:suppressLineNumbers w:val="0"/>
        <w:spacing w:before="60" w:beforeAutospacing="0" w:after="60" w:afterAutospacing="0"/>
        <w:ind w:right="0" w:rightChars="0"/>
        <w:jc w:val="both"/>
      </w:pPr>
      <w:r>
        <w:t xml:space="preserve"> </w:t>
      </w:r>
      <w:r>
        <w:rPr>
          <w:rFonts w:hint="eastAsia"/>
          <w:lang w:val="en-US" w:eastAsia="zh-CN"/>
        </w:rPr>
        <w:t>5、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不涉及修改-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UPS可计算数（套）和ups无数据或未更新(套)页面对比不了数据，</w:t>
      </w:r>
    </w:p>
    <w:p w14:paraId="10BB0893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平台接入周报-容量负载率-列表-UPS可计算数（套），最大的负载率&gt;=0的数量, 没有排除&gt;150也没有排除生产用途的 yyyyyy</w:t>
      </w:r>
    </w:p>
    <w:p w14:paraId="1B576148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平台接入周报-容量负载率-列表-ups无数据或未更新(套)，即为5数据时间晚于前一天或负载率为null的系统数， 没有排除&gt;150也没有排除生产用途的 yyyyyy</w:t>
      </w:r>
    </w:p>
    <w:p w14:paraId="799108A1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8FF7569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平台接入周报-容量负载率-列表-ups无数据或未更新(套)，即为5数据时间晚于前一天或负载率为null的系统数， 没有排除&gt;150也没有排除生产用途的 yyyyyy</w:t>
      </w:r>
    </w:p>
    <w:p w14:paraId="3DE805F0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1D3EFA2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708AF0E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7FB9A3B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br w:type="page"/>
      </w:r>
    </w:p>
    <w:p w14:paraId="64324B28">
      <w:pPr>
        <w:pStyle w:val="2"/>
        <w:keepNext w:val="0"/>
        <w:keepLines w:val="0"/>
        <w:widowControl/>
        <w:numPr>
          <w:numId w:val="0"/>
        </w:numPr>
        <w:suppressLineNumbers w:val="0"/>
        <w:spacing w:before="60" w:beforeAutospacing="0" w:after="60" w:afterAutospacing="0"/>
        <w:ind w:leftChars="0" w:right="0" w:rightChars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6、</w:t>
      </w:r>
      <w:r>
        <w:t xml:space="preserve"> 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（已处理）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ups无数据或未更新(套)和ups未更新 是一个字段，按照ups无数据或未更新(套)统一名称</w:t>
      </w:r>
    </w:p>
    <w:p w14:paraId="680FC093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right="0"/>
        <w:jc w:val="both"/>
      </w:pPr>
      <w:r>
        <w:drawing>
          <wp:inline distT="0" distB="0" distL="114300" distR="114300">
            <wp:extent cx="5267325" cy="2574925"/>
            <wp:effectExtent l="0" t="0" r="9525" b="158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ECE12">
      <w:r>
        <w:br w:type="page"/>
      </w:r>
    </w:p>
    <w:p w14:paraId="04A8CF8A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Chars="0" w:right="0" w:rightChars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（已处理）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ups其它用途(套)和 非业务供电数 是一个字段 统一字段，用非业务供电数统一</w:t>
      </w:r>
    </w:p>
    <w:p w14:paraId="4CE6336B">
      <w:pPr>
        <w:pStyle w:val="2"/>
        <w:keepNext w:val="0"/>
        <w:keepLines w:val="0"/>
        <w:widowControl/>
        <w:numPr>
          <w:numId w:val="0"/>
        </w:numPr>
        <w:suppressLineNumbers w:val="0"/>
        <w:spacing w:before="60" w:beforeAutospacing="0" w:after="60" w:afterAutospacing="0"/>
        <w:ind w:right="0" w:rightChars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drawing>
          <wp:inline distT="0" distB="0" distL="114300" distR="114300">
            <wp:extent cx="5267325" cy="2169795"/>
            <wp:effectExtent l="0" t="0" r="9525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F8D94F8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right="0"/>
        <w:jc w:val="both"/>
        <w:rPr>
          <w:rFonts w:hint="default"/>
          <w:lang w:val="en-US" w:eastAsia="zh-CN"/>
        </w:rPr>
      </w:pPr>
    </w:p>
    <w:p w14:paraId="05E785ED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030F3B5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C19F82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498AEC"/>
    <w:multiLevelType w:val="singleLevel"/>
    <w:tmpl w:val="45498AEC"/>
    <w:lvl w:ilvl="0" w:tentative="0">
      <w:start w:val="7"/>
      <w:numFmt w:val="decimal"/>
      <w:suff w:val="space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2C05D7"/>
    <w:rsid w:val="2918044D"/>
    <w:rsid w:val="36C86CB1"/>
    <w:rsid w:val="3993673F"/>
    <w:rsid w:val="3C0664EE"/>
    <w:rsid w:val="510400F1"/>
    <w:rsid w:val="5FF15F2D"/>
    <w:rsid w:val="72BC1E8C"/>
    <w:rsid w:val="7CBE2D25"/>
    <w:rsid w:val="7D98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2025-12-11T17:19:58Z</dcterms:created>
  <dc:creator>huangjiajie</dc:creator>
  <cp:lastModifiedBy>Sun</cp:lastModifiedBy>
  <dcterms:modified xsi:type="dcterms:W3CDTF">2025-12-11T17:25:45Z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eyJoZGlkIjoiY2ZhYWFmNzEwNzE5ZGQxZjNjMTkxZTU4OTkyMzI0ODUiLCJ1c2VySWQiOiIxNDAxNTEzMTI3In0=</vt:lpwstr>
  </property>
  <property fmtid="{D5CDD505-2E9C-101B-9397-08002B2CF9AE}" pid="4" name="ICV">
    <vt:lpwstr>D3E20A6E7ACE43BDB74C70AD39518ACC_12</vt:lpwstr>
  </property>
</Properties>
</file>