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Adaptive Retrieval-Augmented Generation for Reducing Hallucinations in Large Language Models</w:t>
      </w:r>
    </w:p>
    <w:p>
      <w:pPr>
        <w:jc w:val="center"/>
      </w:pPr>
      <w:r>
        <w:rPr>
          <w:b/>
        </w:rPr>
        <w:t>Research Manuscript Draft</w:t>
        <w:br/>
      </w:r>
      <w:r>
        <w:t>Author: Mridul Sharma</w:t>
        <w:br/>
      </w:r>
      <w:r>
        <w:t>Draft prepared: 28 October 2026</w:t>
      </w:r>
    </w:p>
    <w:p>
      <w:pPr>
        <w:jc w:val="center"/>
      </w:pPr>
      <w:r>
        <w:rPr>
          <w:i/>
          <w:sz w:val="18"/>
        </w:rPr>
        <w:t>Status: complete first-draft manuscript; requires final author review and reproducibility confirmation before submission.</w:t>
      </w:r>
    </w:p>
    <w:p>
      <w:pPr>
        <w:pStyle w:val="Heading1"/>
      </w:pPr>
      <w:r>
        <w:t>Abstract</w:t>
      </w:r>
    </w:p>
    <w:p>
      <w:r>
        <w:t>Retrieval-augmented generation (RAG) can provide language models with external evidence, but correct retrieval does not guarantee that a generator will interpret the evidence accurately. This study compares fixed lexical retrieval, metadata-assisted retrieval, and deterministic answer extraction on a structured question-answering benchmark derived from historical Indian Premier League (IPL) cricket records. The frozen evaluation contains 180 questions sampled from an existing held-out test partition, with 60 questions each about batter runs, innings totals, and match winners. Five methods were compared: FLAN-T5-small without retrieval; fixed BM25 retrieval followed by FLAN-T5-small; metadata-assisted retrieval followed by the same generator; deterministic extraction from fixed-BM25 evidence; and deterministic extraction following metadata-assisted retrieval. Observed answer accuracy was 1.67%, 55.56%, 56.11%, 99.44%, and 100.00%, respectively. Wilson 95% confidence intervals were calculated, and paired exact McNemar tests were used for selected method comparisons. The one-question difference between fixed and metadata-assisted RAG generation was not statistically significant (p = 1.00), nor was the one-question difference between the two extraction methods (p = 1.00). The results indicate that, on this template-generated benchmark, extracting answers deterministically from structured evidence substantially outperformed free-form generation. However, the extraction procedure is tailored to the benchmark’s passage format, the evaluation uses one domain and one frozen sample, and answer accuracy is not a direct measure of hallucination or evidence support. The findings therefore support a narrow conclusion about structured IPL question answering rather than a general claim that the proposed method reduces hallucinations across language-model applications.</w:t>
      </w:r>
    </w:p>
    <w:p>
      <w:r>
        <w:t>Keywords: retrieval-augmented generation; adaptive retrieval; answer extraction; BM25; evidence grounding; hallucination; cricket data</w:t>
      </w:r>
    </w:p>
    <w:p>
      <w:pPr>
        <w:pStyle w:val="Heading1"/>
      </w:pPr>
      <w:r>
        <w:t>1. Introduction</w:t>
      </w:r>
    </w:p>
    <w:p>
      <w:r>
        <w:t>Large language models (LLMs) can produce fluent answers that are factually incorrect, incomplete, or unsupported by available evidence. Retrieval-augmented generation addresses part of this problem by retrieving external documents and conditioning generation on them, allowing a system to use information beyond the model’s parametric knowledge (Lewis et al., 2020). Yet RAG systems have at least two separable stages of failure: the retriever may not supply the relevant evidence, and the generator may misread, ignore, or fail to extract the answer from evidence that is present.</w:t>
      </w:r>
    </w:p>
    <w:p>
      <w:r>
        <w:t>A common design retrieves a fixed number of passages for every query. Such a policy is simple and reproducible, but does not account for differences among question types. More context can introduce useful details, but can also increase the chance of distracting or similar entities. Prior work has explored question-complexity-based retrieval selection, self-reflection, and corrective retrieval strategies (Jeong et al., 2024; Asai et al., 2024; Yan et al., 2024). This study focuses on a lightweight, task-specific alternative: use question metadata to narrow the candidate evidence for selected question types, then compare generative answering with deterministic extraction from the selected evidence.</w:t>
      </w:r>
    </w:p>
    <w:p>
      <w:pPr>
        <w:pStyle w:val="Heading2"/>
      </w:pPr>
      <w:r>
        <w:t>1.1 Research questions</w:t>
      </w:r>
    </w:p>
    <w:p>
      <w:pPr>
        <w:pStyle w:val="ListBullet"/>
      </w:pPr>
      <w:r>
        <w:t>RQ1. How does FLAN-T5-small answer accuracy change when BM25 retrieval is added to a no-retrieval baseline?</w:t>
      </w:r>
    </w:p>
    <w:p>
      <w:pPr>
        <w:pStyle w:val="ListBullet"/>
      </w:pPr>
      <w:r>
        <w:t>RQ2. Does the task-specific metadata-assisted retrieval policy improve answer accuracy over fixed BM25 retrieval?</w:t>
      </w:r>
    </w:p>
    <w:p>
      <w:pPr>
        <w:pStyle w:val="ListBullet"/>
      </w:pPr>
      <w:r>
        <w:t>RQ3. How does deterministic extraction from structured evidence compare with free-form generation on the same questions?</w:t>
      </w:r>
    </w:p>
    <w:p>
      <w:pPr>
        <w:pStyle w:val="ListBullet"/>
      </w:pPr>
      <w:r>
        <w:t>RQ4. What limitations prevent answer-accuracy results on this benchmark from being interpreted as general evidence of hallucination reduction?</w:t>
      </w:r>
    </w:p>
    <w:p>
      <w:pPr>
        <w:pStyle w:val="Heading2"/>
      </w:pPr>
      <w:r>
        <w:t>1.2 Contributions and scope</w:t>
      </w:r>
    </w:p>
    <w:p>
      <w:r>
        <w:t>The study contributes a controlled comparison of five answering methods on a frozen 180-question IPL benchmark, reports overall and question-type accuracy with confidence intervals, and includes paired statistical comparisons and error diagnostics. The metadata-assisted method is a set of task-specific rules, not a newly trained or general-purpose adaptive retrieval model. The rule-based extraction method relies on the structured format of the benchmark passages. The paper therefore treats the experiments as a narrow evaluation of structured-data question answering, not as proof of broad hallucination reduction.</w:t>
      </w:r>
    </w:p>
    <w:p>
      <w:pPr>
        <w:pStyle w:val="Heading1"/>
      </w:pPr>
      <w:r>
        <w:t>2. Related Work</w:t>
      </w:r>
    </w:p>
    <w:p>
      <w:pPr>
        <w:pStyle w:val="Heading2"/>
      </w:pPr>
      <w:r>
        <w:t>2.1 Retrieval-augmented generation</w:t>
      </w:r>
    </w:p>
    <w:p>
      <w:r>
        <w:t>Lewis et al. (2020) introduced retrieval-augmented generation models that combine parametric sequence-to-sequence generation with non-parametric external memory. In practical pipelines, retrieval and generation should be assessed separately because a relevant passage may be retrieved while the answer is still generated incorrectly. The present study uses BM25 lexical retrieval and FLAN-T5-small to keep the setup lightweight and interpretable.</w:t>
      </w:r>
    </w:p>
    <w:p>
      <w:pPr>
        <w:pStyle w:val="Heading2"/>
      </w:pPr>
      <w:r>
        <w:t>2.2 Adaptive and corrective retrieval</w:t>
      </w:r>
    </w:p>
    <w:p>
      <w:r>
        <w:t>Adaptive-RAG selects retrieval strategies according to question complexity (Jeong et al., 2024). Self-RAG integrates retrieval decisions and reflection into a trained generation framework (Asai et al., 2024), while Corrective RAG evaluates retrieval quality and applies corrective actions when retrieved documents may be inadequate (Yan et al., 2024). The method evaluated here is simpler and should not be conflated with these learned or model-based approaches: it uses known fields such as date, batter, innings, or batting team to filter or select among retrieved passages for specified task categories.</w:t>
      </w:r>
    </w:p>
    <w:p>
      <w:pPr>
        <w:pStyle w:val="Heading2"/>
      </w:pPr>
      <w:r>
        <w:t>2.3 Structured answer extraction and evaluation</w:t>
      </w:r>
    </w:p>
    <w:p>
      <w:r>
        <w:t>When evidence follows a stable schema, deterministic extraction can avoid some generation errors by mapping a field or a known text pattern directly to an answer. This advantage is also a limitation: performance depends on the stability and coverage of the schema-specific rules. Accordingly, answer accuracy on structured records is not interchangeable with open-domain factuality, evidence entailment, or hallucination rate. This distinction motivates reporting retrieval success, answer accuracy, and error patterns separately.</w:t>
      </w:r>
    </w:p>
    <w:p>
      <w:pPr>
        <w:pStyle w:val="Heading1"/>
      </w:pPr>
      <w:r>
        <w:t>3. Methodology</w:t>
      </w:r>
    </w:p>
    <w:p>
      <w:pPr>
        <w:pStyle w:val="Heading2"/>
      </w:pPr>
      <w:r>
        <w:t>3.1 Data source and benchmark</w:t>
      </w:r>
    </w:p>
    <w:p>
      <w:r>
        <w:t>The benchmark was constructed from historical IPL match data distributed by Cricsheet. Structured match records were converted into passages and template-generated short-answer questions. The three question categories were batter runs (batter_runs), innings totals (innings_runs), and match winners (match_winner). The frozen evaluation used 180 unique questions, with 60 questions per category, sampled from the existing held-out test partition. The sample excluded the earlier 60-question development pilot, but it is not an independent external dataset.</w:t>
      </w:r>
    </w:p>
    <w:p>
      <w:r>
        <w:t>The evaluation used a fixed seed recorded in the experiment artifacts (20261028). The questions and their target passage identifiers were frozen before scoring the five methods. The dataset’s structured and template-generated nature is central to interpretation: it is a controlled benchmark for the specified tasks, not a representative sample of arbitrary user questions.</w:t>
      </w:r>
    </w:p>
    <w:p>
      <w:pPr>
        <w:pStyle w:val="Heading2"/>
      </w:pPr>
      <w:r>
        <w:t>3.2 Methods compared</w:t>
      </w:r>
    </w:p>
    <w:p>
      <w:pPr>
        <w:pStyle w:val="ListNumber"/>
      </w:pPr>
      <w:r>
        <w:rPr>
          <w:b/>
        </w:rPr>
        <w:t xml:space="preserve">M1. No retrieval + FLAN-T5-small. </w:t>
      </w:r>
      <w:r>
        <w:t>The generator answers without retrieved benchmark evidence.</w:t>
      </w:r>
    </w:p>
    <w:p>
      <w:pPr>
        <w:pStyle w:val="ListNumber"/>
      </w:pPr>
      <w:r>
        <w:rPr>
          <w:b/>
        </w:rPr>
        <w:t xml:space="preserve">M2. Fixed BM25 RAG + FLAN-T5-small. </w:t>
      </w:r>
      <w:r>
        <w:t>BM25 retrieves the fixed top-ranked passage, which is supplied to FLAN-T5-small.</w:t>
      </w:r>
    </w:p>
    <w:p>
      <w:pPr>
        <w:pStyle w:val="ListNumber"/>
      </w:pPr>
      <w:r>
        <w:rPr>
          <w:b/>
        </w:rPr>
        <w:t xml:space="preserve">M3. Metadata-assisted RAG + FLAN-T5-small. </w:t>
      </w:r>
      <w:r>
        <w:t>A task-specific metadata policy selects evidence, after which the same generator answers.</w:t>
      </w:r>
    </w:p>
    <w:p>
      <w:pPr>
        <w:pStyle w:val="ListNumber"/>
      </w:pPr>
      <w:r>
        <w:rPr>
          <w:b/>
        </w:rPr>
        <w:t xml:space="preserve">M4. Fixed BM25 + deterministic extraction. </w:t>
      </w:r>
      <w:r>
        <w:t>A rule-based extractor produces an answer from the fixed-BM25 evidence.</w:t>
      </w:r>
    </w:p>
    <w:p>
      <w:pPr>
        <w:pStyle w:val="ListNumber"/>
      </w:pPr>
      <w:r>
        <w:rPr>
          <w:b/>
        </w:rPr>
        <w:t xml:space="preserve">M5. Metadata-assisted retrieval + deterministic extraction. </w:t>
      </w:r>
      <w:r>
        <w:t>The metadata-assisted evidence-selection policy is paired with the rule-based extractor.</w:t>
      </w:r>
    </w:p>
    <w:p>
      <w:pPr>
        <w:pStyle w:val="Heading2"/>
      </w:pPr>
      <w:r>
        <w:t>3.3 Retrieval and metadata-assisted policy</w:t>
      </w:r>
    </w:p>
    <w:p>
      <w:r>
        <w:t>The fixed retriever uses BM25 lexical ranking. The metadata-assisted policy is a deterministic, task-specific procedure rather than a learned adaptive retriever. For batter-run questions, it considers the top three BM25 candidates and applies date, batter, and innings checks. For innings-total questions, it considers the top ten BM25 candidates and checks the date and batting team. For match-winner questions, the policy uses fixed BM25 top-1 without an additional metadata-based selection step. These different candidate-pool sizes are part of the implementation and should be kept explicit when interpreting results.</w:t>
      </w:r>
    </w:p>
    <w:p>
      <w:pPr>
        <w:pStyle w:val="Heading2"/>
      </w:pPr>
      <w:r>
        <w:t>3.4 Generation and extraction</w:t>
      </w:r>
    </w:p>
    <w:p>
      <w:r>
        <w:t>The generative methods use google/flan-t5-small with deterministic decoding: do_sample=False, num_beams=1, and max_new_tokens=32. The deterministic extraction procedure uses a regex/rule-based function named extract_answer_from_evidence_v2 and depends on the structured passage format. The comparison is therefore between free-form generation and a schema-specific extraction pipeline, not between two general-purpose reasoning models.</w:t>
      </w:r>
    </w:p>
    <w:p>
      <w:pPr>
        <w:pStyle w:val="Heading2"/>
      </w:pPr>
      <w:r>
        <w:t>3.5 Metrics and statistical analysis</w:t>
      </w:r>
    </w:p>
    <w:p>
      <w:r>
        <w:t>The primary answer metric is exact benchmark answer correctness, reported as the number correct and percentage correct. Wilson 95% confidence intervals are reported for overall accuracy. Because all methods are evaluated on the same frozen questions, selected method comparisons use exact McNemar tests on paired outcomes. Target-passage retrieval hits are reported separately from answer correctness. A retrieved target passage does not guarantee a correct generated answer, and a correct answer alone does not prove that the answer was supported by evidence.</w:t>
      </w:r>
    </w:p>
    <w:p>
      <w:pPr>
        <w:pStyle w:val="Heading1"/>
      </w:pPr>
      <w:r>
        <w:t>4. Results</w:t>
      </w:r>
    </w:p>
    <w:p>
      <w:pPr>
        <w:pStyle w:val="Heading2"/>
      </w:pPr>
      <w:r>
        <w:t>4.1 Overall answer accuracy</w:t>
      </w:r>
    </w:p>
    <w:p>
      <w:r>
        <w:t>Table 1 presents the five methods on the 180-question frozen evaluation. The no-retrieval baseline answered 3 of 180 questions correctly (1.67%). Fixed BM25 RAG answered 100 correctly (55.56%), while metadata-assisted RAG answered 101 correctly (56.11%). Deterministic extraction reached 179/180 (99.44%) with fixed BM25 evidence and 180/180 (100.00%) with metadata-assisted evidence.</w:t>
      </w:r>
    </w:p>
    <w:tbl>
      <w:tblPr>
        <w:tblStyle w:val="LightShading-Accent1"/>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Pr>
          <w:p>
            <w:r>
              <w:rPr>
                <w:rFonts w:ascii="Times New Roman" w:hAnsi="Times New Roman"/>
                <w:sz w:val="18"/>
              </w:rPr>
              <w:t>Method</w:t>
            </w:r>
          </w:p>
        </w:tc>
        <w:tc>
          <w:tcPr>
            <w:tcW w:type="dxa" w:w="1930"/>
            <w:vAlign w:val="center"/>
          </w:tcPr>
          <w:p>
            <w:r>
              <w:rPr>
                <w:rFonts w:ascii="Times New Roman" w:hAnsi="Times New Roman"/>
                <w:sz w:val="18"/>
              </w:rPr>
              <w:t>Correct</w:t>
            </w:r>
          </w:p>
        </w:tc>
        <w:tc>
          <w:tcPr>
            <w:tcW w:type="dxa" w:w="1930"/>
            <w:vAlign w:val="center"/>
          </w:tcPr>
          <w:p>
            <w:r>
              <w:rPr>
                <w:rFonts w:ascii="Times New Roman" w:hAnsi="Times New Roman"/>
                <w:sz w:val="18"/>
              </w:rPr>
              <w:t>N</w:t>
            </w:r>
          </w:p>
        </w:tc>
        <w:tc>
          <w:tcPr>
            <w:tcW w:type="dxa" w:w="1930"/>
            <w:vAlign w:val="center"/>
          </w:tcPr>
          <w:p>
            <w:r>
              <w:rPr>
                <w:rFonts w:ascii="Times New Roman" w:hAnsi="Times New Roman"/>
                <w:sz w:val="18"/>
              </w:rPr>
              <w:t>Accuracy</w:t>
            </w:r>
          </w:p>
        </w:tc>
        <w:tc>
          <w:tcPr>
            <w:tcW w:type="dxa" w:w="1930"/>
            <w:vAlign w:val="center"/>
          </w:tcPr>
          <w:p>
            <w:r>
              <w:rPr>
                <w:rFonts w:ascii="Times New Roman" w:hAnsi="Times New Roman"/>
                <w:sz w:val="18"/>
              </w:rPr>
              <w:t>Wilson 95% CI</w:t>
            </w:r>
          </w:p>
        </w:tc>
      </w:tr>
      <w:tr>
        <w:tc>
          <w:tcPr>
            <w:tcW w:type="dxa" w:w="1930"/>
            <w:vAlign w:val="center"/>
          </w:tcPr>
          <w:p>
            <w:r>
              <w:rPr>
                <w:rFonts w:ascii="Times New Roman" w:hAnsi="Times New Roman"/>
                <w:sz w:val="18"/>
              </w:rPr>
              <w:t>No retrieval + FLAN-T5-small</w:t>
            </w:r>
          </w:p>
        </w:tc>
        <w:tc>
          <w:tcPr>
            <w:tcW w:type="dxa" w:w="1930"/>
            <w:vAlign w:val="center"/>
          </w:tcPr>
          <w:p>
            <w:r>
              <w:rPr>
                <w:rFonts w:ascii="Times New Roman" w:hAnsi="Times New Roman"/>
                <w:sz w:val="18"/>
              </w:rPr>
              <w:t>3</w:t>
            </w:r>
          </w:p>
        </w:tc>
        <w:tc>
          <w:tcPr>
            <w:tcW w:type="dxa" w:w="1930"/>
            <w:vAlign w:val="center"/>
          </w:tcPr>
          <w:p>
            <w:r>
              <w:rPr>
                <w:rFonts w:ascii="Times New Roman" w:hAnsi="Times New Roman"/>
                <w:sz w:val="18"/>
              </w:rPr>
              <w:t>180</w:t>
            </w:r>
          </w:p>
        </w:tc>
        <w:tc>
          <w:tcPr>
            <w:tcW w:type="dxa" w:w="1930"/>
            <w:vAlign w:val="center"/>
          </w:tcPr>
          <w:p>
            <w:r>
              <w:rPr>
                <w:rFonts w:ascii="Times New Roman" w:hAnsi="Times New Roman"/>
                <w:sz w:val="18"/>
              </w:rPr>
              <w:t>1.67%</w:t>
            </w:r>
          </w:p>
        </w:tc>
        <w:tc>
          <w:tcPr>
            <w:tcW w:type="dxa" w:w="1930"/>
            <w:vAlign w:val="center"/>
          </w:tcPr>
          <w:p>
            <w:r>
              <w:rPr>
                <w:rFonts w:ascii="Times New Roman" w:hAnsi="Times New Roman"/>
                <w:sz w:val="18"/>
              </w:rPr>
              <w:t>0.57–4.78%</w:t>
            </w:r>
          </w:p>
        </w:tc>
      </w:tr>
      <w:tr>
        <w:tc>
          <w:tcPr>
            <w:tcW w:type="dxa" w:w="1930"/>
            <w:vAlign w:val="center"/>
          </w:tcPr>
          <w:p>
            <w:r>
              <w:rPr>
                <w:rFonts w:ascii="Times New Roman" w:hAnsi="Times New Roman"/>
                <w:sz w:val="18"/>
              </w:rPr>
              <w:t>Fixed BM25 RAG + FLAN-T5-small</w:t>
            </w:r>
          </w:p>
        </w:tc>
        <w:tc>
          <w:tcPr>
            <w:tcW w:type="dxa" w:w="1930"/>
            <w:vAlign w:val="center"/>
          </w:tcPr>
          <w:p>
            <w:r>
              <w:rPr>
                <w:rFonts w:ascii="Times New Roman" w:hAnsi="Times New Roman"/>
                <w:sz w:val="18"/>
              </w:rPr>
              <w:t>100</w:t>
            </w:r>
          </w:p>
        </w:tc>
        <w:tc>
          <w:tcPr>
            <w:tcW w:type="dxa" w:w="1930"/>
            <w:vAlign w:val="center"/>
          </w:tcPr>
          <w:p>
            <w:r>
              <w:rPr>
                <w:rFonts w:ascii="Times New Roman" w:hAnsi="Times New Roman"/>
                <w:sz w:val="18"/>
              </w:rPr>
              <w:t>180</w:t>
            </w:r>
          </w:p>
        </w:tc>
        <w:tc>
          <w:tcPr>
            <w:tcW w:type="dxa" w:w="1930"/>
            <w:vAlign w:val="center"/>
          </w:tcPr>
          <w:p>
            <w:r>
              <w:rPr>
                <w:rFonts w:ascii="Times New Roman" w:hAnsi="Times New Roman"/>
                <w:sz w:val="18"/>
              </w:rPr>
              <w:t>55.56%</w:t>
            </w:r>
          </w:p>
        </w:tc>
        <w:tc>
          <w:tcPr>
            <w:tcW w:type="dxa" w:w="1930"/>
            <w:vAlign w:val="center"/>
          </w:tcPr>
          <w:p>
            <w:r>
              <w:rPr>
                <w:rFonts w:ascii="Times New Roman" w:hAnsi="Times New Roman"/>
                <w:sz w:val="18"/>
              </w:rPr>
              <w:t>48.26–62.62%</w:t>
            </w:r>
          </w:p>
        </w:tc>
      </w:tr>
      <w:tr>
        <w:tc>
          <w:tcPr>
            <w:tcW w:type="dxa" w:w="1930"/>
            <w:vAlign w:val="center"/>
          </w:tcPr>
          <w:p>
            <w:r>
              <w:rPr>
                <w:rFonts w:ascii="Times New Roman" w:hAnsi="Times New Roman"/>
                <w:sz w:val="18"/>
              </w:rPr>
              <w:t>Metadata-assisted RAG + FLAN-T5-small</w:t>
            </w:r>
          </w:p>
        </w:tc>
        <w:tc>
          <w:tcPr>
            <w:tcW w:type="dxa" w:w="1930"/>
            <w:vAlign w:val="center"/>
          </w:tcPr>
          <w:p>
            <w:r>
              <w:rPr>
                <w:rFonts w:ascii="Times New Roman" w:hAnsi="Times New Roman"/>
                <w:sz w:val="18"/>
              </w:rPr>
              <w:t>101</w:t>
            </w:r>
          </w:p>
        </w:tc>
        <w:tc>
          <w:tcPr>
            <w:tcW w:type="dxa" w:w="1930"/>
            <w:vAlign w:val="center"/>
          </w:tcPr>
          <w:p>
            <w:r>
              <w:rPr>
                <w:rFonts w:ascii="Times New Roman" w:hAnsi="Times New Roman"/>
                <w:sz w:val="18"/>
              </w:rPr>
              <w:t>180</w:t>
            </w:r>
          </w:p>
        </w:tc>
        <w:tc>
          <w:tcPr>
            <w:tcW w:type="dxa" w:w="1930"/>
            <w:vAlign w:val="center"/>
          </w:tcPr>
          <w:p>
            <w:r>
              <w:rPr>
                <w:rFonts w:ascii="Times New Roman" w:hAnsi="Times New Roman"/>
                <w:sz w:val="18"/>
              </w:rPr>
              <w:t>56.11%</w:t>
            </w:r>
          </w:p>
        </w:tc>
        <w:tc>
          <w:tcPr>
            <w:tcW w:type="dxa" w:w="1930"/>
            <w:vAlign w:val="center"/>
          </w:tcPr>
          <w:p>
            <w:r>
              <w:rPr>
                <w:rFonts w:ascii="Times New Roman" w:hAnsi="Times New Roman"/>
                <w:sz w:val="18"/>
              </w:rPr>
              <w:t>48.81–63.16%</w:t>
            </w:r>
          </w:p>
        </w:tc>
      </w:tr>
      <w:tr>
        <w:tc>
          <w:tcPr>
            <w:tcW w:type="dxa" w:w="1930"/>
            <w:vAlign w:val="center"/>
          </w:tcPr>
          <w:p>
            <w:r>
              <w:rPr>
                <w:rFonts w:ascii="Times New Roman" w:hAnsi="Times New Roman"/>
                <w:sz w:val="18"/>
              </w:rPr>
              <w:t>Fixed BM25 + rule extraction</w:t>
            </w:r>
          </w:p>
        </w:tc>
        <w:tc>
          <w:tcPr>
            <w:tcW w:type="dxa" w:w="1930"/>
            <w:vAlign w:val="center"/>
          </w:tcPr>
          <w:p>
            <w:r>
              <w:rPr>
                <w:rFonts w:ascii="Times New Roman" w:hAnsi="Times New Roman"/>
                <w:sz w:val="18"/>
              </w:rPr>
              <w:t>179</w:t>
            </w:r>
          </w:p>
        </w:tc>
        <w:tc>
          <w:tcPr>
            <w:tcW w:type="dxa" w:w="1930"/>
            <w:vAlign w:val="center"/>
          </w:tcPr>
          <w:p>
            <w:r>
              <w:rPr>
                <w:rFonts w:ascii="Times New Roman" w:hAnsi="Times New Roman"/>
                <w:sz w:val="18"/>
              </w:rPr>
              <w:t>180</w:t>
            </w:r>
          </w:p>
        </w:tc>
        <w:tc>
          <w:tcPr>
            <w:tcW w:type="dxa" w:w="1930"/>
            <w:vAlign w:val="center"/>
          </w:tcPr>
          <w:p>
            <w:r>
              <w:rPr>
                <w:rFonts w:ascii="Times New Roman" w:hAnsi="Times New Roman"/>
                <w:sz w:val="18"/>
              </w:rPr>
              <w:t>99.44%</w:t>
            </w:r>
          </w:p>
        </w:tc>
        <w:tc>
          <w:tcPr>
            <w:tcW w:type="dxa" w:w="1930"/>
            <w:vAlign w:val="center"/>
          </w:tcPr>
          <w:p>
            <w:r>
              <w:rPr>
                <w:rFonts w:ascii="Times New Roman" w:hAnsi="Times New Roman"/>
                <w:sz w:val="18"/>
              </w:rPr>
              <w:t>96.92–99.90%</w:t>
            </w:r>
          </w:p>
        </w:tc>
      </w:tr>
      <w:tr>
        <w:tc>
          <w:tcPr>
            <w:tcW w:type="dxa" w:w="1930"/>
            <w:vAlign w:val="center"/>
          </w:tcPr>
          <w:p>
            <w:r>
              <w:rPr>
                <w:rFonts w:ascii="Times New Roman" w:hAnsi="Times New Roman"/>
                <w:sz w:val="18"/>
              </w:rPr>
              <w:t>Metadata-assisted retrieval + rule extraction</w:t>
            </w:r>
          </w:p>
        </w:tc>
        <w:tc>
          <w:tcPr>
            <w:tcW w:type="dxa" w:w="1930"/>
            <w:vAlign w:val="center"/>
          </w:tcPr>
          <w:p>
            <w:r>
              <w:rPr>
                <w:rFonts w:ascii="Times New Roman" w:hAnsi="Times New Roman"/>
                <w:sz w:val="18"/>
              </w:rPr>
              <w:t>180</w:t>
            </w:r>
          </w:p>
        </w:tc>
        <w:tc>
          <w:tcPr>
            <w:tcW w:type="dxa" w:w="1930"/>
            <w:vAlign w:val="center"/>
          </w:tcPr>
          <w:p>
            <w:r>
              <w:rPr>
                <w:rFonts w:ascii="Times New Roman" w:hAnsi="Times New Roman"/>
                <w:sz w:val="18"/>
              </w:rPr>
              <w:t>180</w:t>
            </w:r>
          </w:p>
        </w:tc>
        <w:tc>
          <w:tcPr>
            <w:tcW w:type="dxa" w:w="1930"/>
            <w:vAlign w:val="center"/>
          </w:tcPr>
          <w:p>
            <w:r>
              <w:rPr>
                <w:rFonts w:ascii="Times New Roman" w:hAnsi="Times New Roman"/>
                <w:sz w:val="18"/>
              </w:rPr>
              <w:t>100.00%</w:t>
            </w:r>
          </w:p>
        </w:tc>
        <w:tc>
          <w:tcPr>
            <w:tcW w:type="dxa" w:w="1930"/>
            <w:vAlign w:val="center"/>
          </w:tcPr>
          <w:p>
            <w:r>
              <w:rPr>
                <w:rFonts w:ascii="Times New Roman" w:hAnsi="Times New Roman"/>
                <w:sz w:val="18"/>
              </w:rPr>
              <w:t>97.91–100.00%</w:t>
            </w:r>
          </w:p>
        </w:tc>
      </w:tr>
    </w:tbl>
    <w:p>
      <w:r>
        <w:t>Table 1. Overall answer accuracy on the frozen 180-question evaluation.</w:t>
      </w:r>
    </w:p>
    <w:p>
      <w:pPr>
        <w:pStyle w:val="Heading2"/>
      </w:pPr>
      <w:r>
        <w:t>4.2 Results by question type</w:t>
      </w:r>
    </w:p>
    <w:p>
      <w:r>
        <w:t>Performance varied substantially by question category for generation-based methods. Fixed and metadata-assisted RAG both achieved 49/60 (81.67%) on batter-run questions. For innings totals, fixed RAG achieved 39/60 (65.00%) and metadata-assisted RAG achieved 40/60 (66.67%). For match winners, both generation-based methods answered 12/60 (20.00%) correctly. The no-retrieval baseline achieved 5.00% on batter-run questions and 0% on the other two categories. The two extraction methods answered all 60 batter-run questions correctly; for innings totals, fixed extraction answered 59/60 correctly and metadata-assisted extraction 60/60; both answered all 60 match-winner questions correctly.</w:t>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r>
              <w:rPr>
                <w:rFonts w:ascii="Times New Roman" w:hAnsi="Times New Roman"/>
                <w:sz w:val="18"/>
              </w:rPr>
              <w:t>Question type</w:t>
            </w:r>
          </w:p>
        </w:tc>
        <w:tc>
          <w:tcPr>
            <w:tcW w:type="dxa" w:w="2412"/>
          </w:tcPr>
          <w:p>
            <w:r>
              <w:rPr>
                <w:rFonts w:ascii="Times New Roman" w:hAnsi="Times New Roman"/>
                <w:sz w:val="18"/>
              </w:rPr>
              <w:t>Fixed RAG generation</w:t>
            </w:r>
          </w:p>
        </w:tc>
        <w:tc>
          <w:tcPr>
            <w:tcW w:type="dxa" w:w="2412"/>
          </w:tcPr>
          <w:p>
            <w:r>
              <w:rPr>
                <w:rFonts w:ascii="Times New Roman" w:hAnsi="Times New Roman"/>
                <w:sz w:val="18"/>
              </w:rPr>
              <w:t>Metadata RAG generation</w:t>
            </w:r>
          </w:p>
        </w:tc>
        <w:tc>
          <w:tcPr>
            <w:tcW w:type="dxa" w:w="2412"/>
          </w:tcPr>
          <w:p>
            <w:r>
              <w:rPr>
                <w:rFonts w:ascii="Times New Roman" w:hAnsi="Times New Roman"/>
                <w:sz w:val="18"/>
              </w:rPr>
              <w:t>Metadata retrieval + extraction</w:t>
            </w:r>
          </w:p>
        </w:tc>
      </w:tr>
      <w:tr>
        <w:tc>
          <w:tcPr>
            <w:tcW w:type="dxa" w:w="2412"/>
          </w:tcPr>
          <w:p>
            <w:r>
              <w:rPr>
                <w:rFonts w:ascii="Times New Roman" w:hAnsi="Times New Roman"/>
                <w:sz w:val="18"/>
              </w:rPr>
              <w:t>Batter runs (n=60)</w:t>
            </w:r>
          </w:p>
        </w:tc>
        <w:tc>
          <w:tcPr>
            <w:tcW w:type="dxa" w:w="2412"/>
          </w:tcPr>
          <w:p>
            <w:r>
              <w:rPr>
                <w:rFonts w:ascii="Times New Roman" w:hAnsi="Times New Roman"/>
                <w:sz w:val="18"/>
              </w:rPr>
              <w:t>81.67%</w:t>
            </w:r>
          </w:p>
        </w:tc>
        <w:tc>
          <w:tcPr>
            <w:tcW w:type="dxa" w:w="2412"/>
          </w:tcPr>
          <w:p>
            <w:r>
              <w:rPr>
                <w:rFonts w:ascii="Times New Roman" w:hAnsi="Times New Roman"/>
                <w:sz w:val="18"/>
              </w:rPr>
              <w:t>81.67%</w:t>
            </w:r>
          </w:p>
        </w:tc>
        <w:tc>
          <w:tcPr>
            <w:tcW w:type="dxa" w:w="2412"/>
          </w:tcPr>
          <w:p>
            <w:r>
              <w:rPr>
                <w:rFonts w:ascii="Times New Roman" w:hAnsi="Times New Roman"/>
                <w:sz w:val="18"/>
              </w:rPr>
              <w:t>100.00%</w:t>
            </w:r>
          </w:p>
        </w:tc>
      </w:tr>
      <w:tr>
        <w:tc>
          <w:tcPr>
            <w:tcW w:type="dxa" w:w="2412"/>
          </w:tcPr>
          <w:p>
            <w:r>
              <w:rPr>
                <w:rFonts w:ascii="Times New Roman" w:hAnsi="Times New Roman"/>
                <w:sz w:val="18"/>
              </w:rPr>
              <w:t>Innings runs (n=60)</w:t>
            </w:r>
          </w:p>
        </w:tc>
        <w:tc>
          <w:tcPr>
            <w:tcW w:type="dxa" w:w="2412"/>
          </w:tcPr>
          <w:p>
            <w:r>
              <w:rPr>
                <w:rFonts w:ascii="Times New Roman" w:hAnsi="Times New Roman"/>
                <w:sz w:val="18"/>
              </w:rPr>
              <w:t>65.00%</w:t>
            </w:r>
          </w:p>
        </w:tc>
        <w:tc>
          <w:tcPr>
            <w:tcW w:type="dxa" w:w="2412"/>
          </w:tcPr>
          <w:p>
            <w:r>
              <w:rPr>
                <w:rFonts w:ascii="Times New Roman" w:hAnsi="Times New Roman"/>
                <w:sz w:val="18"/>
              </w:rPr>
              <w:t>66.67%</w:t>
            </w:r>
          </w:p>
        </w:tc>
        <w:tc>
          <w:tcPr>
            <w:tcW w:type="dxa" w:w="2412"/>
          </w:tcPr>
          <w:p>
            <w:r>
              <w:rPr>
                <w:rFonts w:ascii="Times New Roman" w:hAnsi="Times New Roman"/>
                <w:sz w:val="18"/>
              </w:rPr>
              <w:t>100.00%</w:t>
            </w:r>
          </w:p>
        </w:tc>
      </w:tr>
      <w:tr>
        <w:tc>
          <w:tcPr>
            <w:tcW w:type="dxa" w:w="2412"/>
          </w:tcPr>
          <w:p>
            <w:r>
              <w:rPr>
                <w:rFonts w:ascii="Times New Roman" w:hAnsi="Times New Roman"/>
                <w:sz w:val="18"/>
              </w:rPr>
              <w:t>Match winner (n=60)</w:t>
            </w:r>
          </w:p>
        </w:tc>
        <w:tc>
          <w:tcPr>
            <w:tcW w:type="dxa" w:w="2412"/>
          </w:tcPr>
          <w:p>
            <w:r>
              <w:rPr>
                <w:rFonts w:ascii="Times New Roman" w:hAnsi="Times New Roman"/>
                <w:sz w:val="18"/>
              </w:rPr>
              <w:t>20.00%</w:t>
            </w:r>
          </w:p>
        </w:tc>
        <w:tc>
          <w:tcPr>
            <w:tcW w:type="dxa" w:w="2412"/>
          </w:tcPr>
          <w:p>
            <w:r>
              <w:rPr>
                <w:rFonts w:ascii="Times New Roman" w:hAnsi="Times New Roman"/>
                <w:sz w:val="18"/>
              </w:rPr>
              <w:t>20.00%</w:t>
            </w:r>
          </w:p>
        </w:tc>
        <w:tc>
          <w:tcPr>
            <w:tcW w:type="dxa" w:w="2412"/>
          </w:tcPr>
          <w:p>
            <w:r>
              <w:rPr>
                <w:rFonts w:ascii="Times New Roman" w:hAnsi="Times New Roman"/>
                <w:sz w:val="18"/>
              </w:rPr>
              <w:t>100.00%</w:t>
            </w:r>
          </w:p>
        </w:tc>
      </w:tr>
    </w:tbl>
    <w:p>
      <w:r>
        <w:t>Table 2. Selected question-type results. Full results for all five methods are in the accompanying evaluation artifacts.</w:t>
      </w:r>
    </w:p>
    <w:p>
      <w:pPr>
        <w:pStyle w:val="Heading2"/>
      </w:pPr>
      <w:r>
        <w:t>4.3 Retrieval and extraction diagnostics</w:t>
      </w:r>
    </w:p>
    <w:p>
      <w:r>
        <w:t>The retrieval summary shows target-passage hits for all 60 batter-run questions under both fixed and metadata-assisted retrieval. For innings totals, fixed retrieval hit the target passage for 59/60 questions (98.33%), while metadata-assisted retrieval hit 60/60. For match-winner questions, both approaches hit 60/60 target passages. The extraction summary mirrors this pattern: fixed extraction achieved 60/60 on batter runs, 59/60 on innings totals, and 60/60 on match winners; metadata-assisted extraction achieved 60/60 in all three categories. These findings suggest that the extraction method successfully exploits the benchmark’s structured evidence, while the generative methods can fail even when target evidence is retrieved.</w:t>
      </w:r>
    </w:p>
    <w:p>
      <w:pPr>
        <w:pStyle w:val="Heading2"/>
      </w:pPr>
      <w:r>
        <w:t>4.4 Paired statistical comparisons</w:t>
      </w:r>
    </w:p>
    <w:p>
      <w:r>
        <w:t>The exact McNemar test comparing fixed BM25 RAG generation with metadata-assisted RAG generation had zero questions correct only under fixed RAG and one correct only under metadata-assisted RAG (one discordant pair; p = 1.00). The comparison between fixed extraction and metadata-assisted extraction also had one discordant pair favoring metadata-assisted extraction (p = 1.00). By contrast, the comparison between fixed RAG generation and fixed extraction had 79 discordant questions favoring extraction and none favoring generation (exact p = 3.31 × 10⁻²⁴). The first two comparisons do not provide evidence of a statistically significant difference on this sample; the third indicates a large paired difference between the two evaluated pipelines.</w:t>
      </w:r>
    </w:p>
    <w:p>
      <w:pPr>
        <w:pStyle w:val="Heading2"/>
      </w:pPr>
      <w:r>
        <w:t>4.5 Match-winner generation errors</w:t>
      </w:r>
    </w:p>
    <w:p>
      <w:r>
        <w:t>The error artifacts identify 48 incorrect answers for each generation-based RAG method among the 60 match-winner questions. The recorded error categories include copying a match identifier, producing a zero or empty-like answer, returning the wrong team, copying a player-of-the-match field, and other errors. The diagnostic indicates that target evidence was present for many errors, reinforcing the distinction between retrieval success and correct answer generation. These categories should be interpreted as error patterns in this benchmark, not as a comprehensive taxonomy of hallucinations.</w:t>
      </w:r>
    </w:p>
    <w:p>
      <w:pPr>
        <w:pStyle w:val="Heading1"/>
      </w:pPr>
      <w:r>
        <w:t>5. Discussion</w:t>
      </w:r>
    </w:p>
    <w:p>
      <w:r>
        <w:t>Three findings stand out. First, adding BM25 retrieval substantially improved answer accuracy relative to the no-retrieval FLAN-T5-small baseline in this benchmark. Second, the metadata-assisted policy changed generation accuracy only marginally: from 55.56% to 56.11%, a difference of one answer on 180 questions. The paired test was not significant, so the result does not support a claim that metadata assistance improved generation performance reliably in this sample. Third, deterministic extraction achieved near-perfect accuracy when paired with structured evidence.</w:t>
      </w:r>
    </w:p>
    <w:p>
      <w:r>
        <w:t>The contrast between generation and extraction suggests that the task may be better treated as structured information extraction than as open-ended language generation when the evidence format is predictable. The generator may produce a plausible but irrelevant number, copy an identifier, or confuse adjacent fields even when the correct passage is available. A deterministic extractor can avoid these errors when the relevant field is expressed in a known schema. However, this advantage depends on the dataset structure and should not be assumed to transfer to free-form documents or open-domain questions.</w:t>
      </w:r>
    </w:p>
    <w:p>
      <w:r>
        <w:t>The metadata-assisted policy appears most useful as a targeted evidence-selection procedure for particular categories. The retrieval summary shows a one-question target-passage improvement for innings totals, with no retrieval-hit difference for the other two categories. That is consistent with the negligible overall accuracy change for metadata-assisted generation. The method is best described as task-specific metadata-assisted retrieval, not a learned Adaptive-RAG architecture.</w:t>
      </w:r>
    </w:p>
    <w:p>
      <w:pPr>
        <w:pStyle w:val="Heading1"/>
      </w:pPr>
      <w:r>
        <w:t>6. Limitations and Threats to Validity</w:t>
      </w:r>
    </w:p>
    <w:p>
      <w:pPr>
        <w:pStyle w:val="ListBullet"/>
      </w:pPr>
      <w:r>
        <w:t>Domain and dataset scope: all questions are based on historical IPL records and only three template-generated categories. The results do not establish performance on diverse real-world questions.</w:t>
      </w:r>
    </w:p>
    <w:p>
      <w:pPr>
        <w:pStyle w:val="ListBullet"/>
      </w:pPr>
      <w:r>
        <w:t>Template and schema dependence: deterministic extraction is tailored to the passage structure. Its near-perfect score should not be interpreted as general-purpose reasoning or general hallucination elimination.</w:t>
      </w:r>
    </w:p>
    <w:p>
      <w:pPr>
        <w:pStyle w:val="ListBullet"/>
      </w:pPr>
      <w:r>
        <w:t>Evaluation size: the frozen evaluation contains 180 questions, with 60 per category, and is drawn from an existing test split. It is not an independent external benchmark.</w:t>
      </w:r>
    </w:p>
    <w:p>
      <w:pPr>
        <w:pStyle w:val="ListBullet"/>
      </w:pPr>
      <w:r>
        <w:t>Metric limitation: exact answer accuracy measures whether the output matches the expected answer. It does not directly assess entailment, completeness, calibration, or whether each answer is grounded in the retrieved evidence.</w:t>
      </w:r>
    </w:p>
    <w:p>
      <w:pPr>
        <w:pStyle w:val="ListBullet"/>
      </w:pPr>
      <w:r>
        <w:t>Limited adaptive-policy gain: metadata-assisted generation improved by only one answer over fixed BM25 generation, and the paired exact McNemar test was not significant.</w:t>
      </w:r>
    </w:p>
    <w:p>
      <w:pPr>
        <w:pStyle w:val="ListBullet"/>
      </w:pPr>
      <w:r>
        <w:t>Implementation specificity: the metadata-assisted policy uses task-specific rules and different candidate-pool sizes by category. It should not be generalized to other domains without redesign and evaluation.</w:t>
      </w:r>
    </w:p>
    <w:p>
      <w:pPr>
        <w:pStyle w:val="ListBullet"/>
      </w:pPr>
      <w:r>
        <w:t>Reproducibility: the result package and notebook artifacts should be preserved with environment versions, prompts, frozen question IDs, and output files. A clean-runtime rerun should be documented before submission.</w:t>
      </w:r>
    </w:p>
    <w:p>
      <w:pPr>
        <w:pStyle w:val="ListBullet"/>
      </w:pPr>
      <w:r>
        <w:t>Potential data and scoring effects: exact-match scoring, answer normalization, template construction, and any overlap between passage construction and question generation may affect observed performance. Future work should audit these choices and add direct evidence-support labels.</w:t>
      </w:r>
    </w:p>
    <w:p>
      <w:pPr>
        <w:pStyle w:val="Heading1"/>
      </w:pPr>
      <w:r>
        <w:t>7. Conclusion</w:t>
      </w:r>
    </w:p>
    <w:p>
      <w:r>
        <w:t>This study compared five answering pipelines on a frozen 180-question IPL benchmark. Fixed BM25 RAG with FLAN-T5-small achieved 55.56% accuracy, and the task-specific metadata-assisted RAG variant achieved 56.11%; the one-answer difference was not statistically significant. Deterministic extraction achieved 99.44% with fixed BM25 evidence and 100.00% with metadata-assisted evidence. The results show that, for these structured questions, a schema-specific extraction pipeline can be more reliable than free-form generation. They do not establish that the proposed metadata policy or extraction procedure reduces hallucinations in general. Future work should evaluate independent datasets, more varied question formulations, direct evidence-support metrics, and adaptive methods beyond fixed task-specific rules.</w:t>
      </w:r>
    </w:p>
    <w:p>
      <w:pPr>
        <w:pStyle w:val="Heading1"/>
      </w:pPr>
      <w:r>
        <w:t>8. Data, Code, and Reproducibility Statement</w:t>
      </w:r>
    </w:p>
    <w:p>
      <w:r>
        <w:t>The study uses historical IPL match records from Cricsheet (https://cricsheet.org/downloads/). The research package includes frozen evaluation questions, method summaries, confidence intervals, paired statistical tests, and error diagnostics. Before public release, the authors should verify the current Cricsheet licence and attribution requirements, ensure the notebook runs in a clean environment, and publish the code and derived artifacts with environment information and clear instructions.</w:t>
      </w:r>
    </w:p>
    <w:p>
      <w:pPr>
        <w:pStyle w:val="Heading1"/>
      </w:pPr>
      <w:r>
        <w:t>References</w:t>
      </w:r>
    </w:p>
    <w:p>
      <w:pPr>
        <w:pStyle w:val="ListNumber"/>
      </w:pPr>
      <w:r>
        <w:t>Asai, A., Wu, Z., Wang, Y., Sil, A., &amp; Hajishirzi, H. (2024). Self-RAG: Learning to retrieve, generate, and critique through self-reflection. International Conference on Learning Representations (ICLR). https://arxiv.org/abs/2310.11511</w:t>
      </w:r>
    </w:p>
    <w:p>
      <w:pPr>
        <w:pStyle w:val="ListNumber"/>
      </w:pPr>
      <w:r>
        <w:t>Cricsheet. (n.d.). Downloads: ball-by-ball cricket data. https://cricsheet.org/downloads/</w:t>
      </w:r>
    </w:p>
    <w:p>
      <w:pPr>
        <w:pStyle w:val="ListNumber"/>
      </w:pPr>
      <w:r>
        <w:t>Jeong, S., Baek, J., Cho, S., Hwang, S. J., &amp; Park, J. C. (2024). Adaptive-RAG: Learning to adapt retrieval-augmented large language models through question complexity. Proceedings of NAACL-HLT 2024, 7036–7050. https://aclanthology.org/2024.naacl-long.389/</w:t>
      </w:r>
    </w:p>
    <w:p>
      <w:pPr>
        <w:pStyle w:val="ListNumber"/>
      </w:pPr>
      <w: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pStyle w:val="ListNumber"/>
      </w:pPr>
      <w:r>
        <w:t>Yan, S.-Q., Gu, J.-C., Zhu, Y., &amp; Ling, Z.-H. (2024). Corrective retrieval augmented generation. arXiv:2401.15884. https://arxiv.org/abs/2401.15884</w:t>
      </w:r>
    </w:p>
    <w:p>
      <w:pPr>
        <w:pStyle w:val="Heading1"/>
      </w:pPr>
      <w:r>
        <w:t>Appendix A. Pilot versus final evaluation</w:t>
      </w:r>
    </w:p>
    <w:p>
      <w:r>
        <w:t>A separate 60-question generation comparison was also produced during development. It is a pilot artifact and must not be merged with the frozen 180-question evaluation. Its results differ because it reflects a different sample and/or experiment stage. The manuscript’s main tables use only the 180-question frozen evaluation artifacts.</w:t>
      </w:r>
    </w:p>
    <w:p>
      <w:pPr>
        <w:pStyle w:val="Heading1"/>
      </w:pPr>
      <w:r>
        <w:t>Appendix B. Pre-submission checklist</w:t>
      </w:r>
    </w:p>
    <w:p>
      <w:pPr>
        <w:pStyle w:val="ListBullet"/>
      </w:pPr>
      <w:r>
        <w:t>Run the cleaned notebook from a fresh Google Colab runtime and record whether every cell succeeds.</w:t>
      </w:r>
    </w:p>
    <w:p>
      <w:pPr>
        <w:pStyle w:val="ListBullet"/>
      </w:pPr>
      <w:r>
        <w:t>Confirm package versions and document the exact command sequence and any manual steps.</w:t>
      </w:r>
    </w:p>
    <w:p>
      <w:pPr>
        <w:pStyle w:val="ListBullet"/>
      </w:pPr>
      <w:r>
        <w:t>Verify the source-data licence and attribution requirements for Cricsheet.</w:t>
      </w:r>
    </w:p>
    <w:p>
      <w:pPr>
        <w:pStyle w:val="ListBullet"/>
      </w:pPr>
      <w:r>
        <w:t>Review all citations and references against the original publications.</w:t>
      </w:r>
    </w:p>
    <w:p>
      <w:pPr>
        <w:pStyle w:val="ListBullet"/>
      </w:pPr>
      <w:r>
        <w:t>Add direct evidence-support evaluation or explicitly retain the limitation that answer accuracy is not a direct hallucination metric.</w:t>
      </w:r>
    </w:p>
    <w:p>
      <w:pPr>
        <w:pStyle w:val="ListBullet"/>
      </w:pPr>
      <w:r>
        <w:t>Check whether the target venue requires a specific structure, word limit, anonymization, ethics statement, or supplementary-material format.</w:t>
      </w:r>
    </w:p>
    <w:p>
      <w:pPr>
        <w:pStyle w:val="ListBullet"/>
      </w:pPr>
      <w:r>
        <w:t>Review the manuscript for novelty claims and ensure that the metadata-assisted method is not described as a learned Adaptive-RAG system.</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Adaptive RAG IPL Research Draft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