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Arial" w:hAnsi="Arial"/>
          <w:b/>
          <w:color w:val="1A365D"/>
          <w:sz w:val="34"/>
        </w:rPr>
        <w:t>QUOTATION FOR WEBSITE DESIGN &amp; DEVELOPMENT</w:t>
      </w:r>
    </w:p>
    <w:tbl>
      <w:tblPr>
        <w:tblW w:type="auto" w:w="0"/>
        <w:jc w:val="center"/>
        <w:tblLook w:firstColumn="1" w:firstRow="1" w:lastColumn="0" w:lastRow="0" w:noHBand="0" w:noVBand="1" w:val="04A0"/>
      </w:tblPr>
      <w:tblGrid>
        <w:gridCol w:w="4968"/>
        <w:gridCol w:w="4968"/>
      </w:tblGrid>
      <w:tr>
        <w:tc>
          <w:tcPr>
            <w:tcW w:type="dxa" w:w="4896"/>
            <w:shd w:val="clear" w:color="auto" w:fill="F7FAFC"/>
            <w:tcMar>
              <w:top w:w="100" w:type="dxa"/>
              <w:bottom w:w="100" w:type="dxa"/>
              <w:left w:w="140" w:type="dxa"/>
              <w:right w:w="140" w:type="dxa"/>
            </w:tcMar>
          </w:tcPr>
          <w:p>
            <w:r>
              <w:rPr>
                <w:b/>
                <w:color w:val="1A365D"/>
                <w:sz w:val="20"/>
              </w:rPr>
              <w:t>SERVICE PROVIDER:</w:t>
              <w:br/>
            </w:r>
            <w:r>
              <w:rPr>
                <w:sz w:val="19"/>
              </w:rPr>
              <w:t>Mridul Sharma</w:t>
              <w:br/>
              <w:t>Contact: +91 6396732226</w:t>
              <w:br/>
              <w:t>Address: Sasni Gate, Aligarh</w:t>
            </w:r>
          </w:p>
        </w:tc>
        <w:tc>
          <w:tcPr>
            <w:tcW w:type="dxa" w:w="4896"/>
            <w:shd w:val="clear" w:color="auto" w:fill="F7FAFC"/>
            <w:tcMar>
              <w:top w:w="100" w:type="dxa"/>
              <w:bottom w:w="100" w:type="dxa"/>
              <w:left w:w="140" w:type="dxa"/>
              <w:right w:w="140" w:type="dxa"/>
            </w:tcMar>
          </w:tcPr>
          <w:p>
            <w:r>
              <w:rPr>
                <w:b/>
                <w:color w:val="1A365D"/>
                <w:sz w:val="20"/>
              </w:rPr>
              <w:t>CLIENT &amp; PROJECT DETAILS:</w:t>
              <w:br/>
            </w:r>
            <w:r>
              <w:rPr>
                <w:sz w:val="19"/>
              </w:rPr>
              <w:t>Client: Blooming Era Preschools</w:t>
              <w:br/>
              <w:t>Project: Responsive Brand &amp; Admissions Website</w:t>
              <w:br/>
              <w:t>Ref: QUO-BEP-2026-01 | Date: 26 Oct 2026</w:t>
            </w:r>
          </w:p>
        </w:tc>
      </w:tr>
    </w:tbl>
    <w:p>
      <w:pPr>
        <w:spacing w:before="280" w:after="80"/>
      </w:pPr>
      <w:r>
        <w:rPr>
          <w:rFonts w:ascii="Arial" w:hAnsi="Arial"/>
          <w:b/>
          <w:color w:val="1A365D"/>
          <w:sz w:val="24"/>
        </w:rPr>
        <w:t>1. Project Overview</w:t>
      </w:r>
    </w:p>
    <w:p>
      <w:pPr>
        <w:spacing w:after="120"/>
      </w:pPr>
      <w:r>
        <w:rPr>
          <w:rFonts w:ascii="Arial" w:hAnsi="Arial"/>
          <w:color w:val="2D3748"/>
          <w:sz w:val="20"/>
        </w:rPr>
        <w:t>Design, development, and deployment of a modern, responsive website for Blooming Era Preschools based on the provided content master. The website covers core brand philosophy (No-Book Preschool, Kindermagic PrimeX), programme details, admissions/tour booking, franchise enquiry routing, and responsive mobile-first navigation.</w:t>
      </w:r>
    </w:p>
    <w:p>
      <w:pPr>
        <w:spacing w:before="280" w:after="80"/>
      </w:pPr>
      <w:r>
        <w:rPr>
          <w:rFonts w:ascii="Arial" w:hAnsi="Arial"/>
          <w:b/>
          <w:color w:val="1A365D"/>
          <w:sz w:val="24"/>
        </w:rPr>
        <w:t>2. Phases of Development</w:t>
      </w:r>
    </w:p>
    <w:p>
      <w:pPr>
        <w:pStyle w:val="ListBullet"/>
        <w:spacing w:after="60"/>
      </w:pPr>
      <w:r>
        <w:rPr>
          <w:rFonts w:ascii="Arial" w:hAnsi="Arial"/>
          <w:b/>
          <w:color w:val="2D3748"/>
          <w:sz w:val="19"/>
        </w:rPr>
        <w:t xml:space="preserve">Phase 1: Planning &amp; Information Architecture: </w:t>
      </w:r>
      <w:r>
        <w:rPr>
          <w:rFonts w:ascii="Arial" w:hAnsi="Arial"/>
          <w:color w:val="2D3748"/>
          <w:sz w:val="19"/>
        </w:rPr>
        <w:t>Finalizing page structures, sitemap hierarchy, and layout grids based on the provided content.</w:t>
      </w:r>
    </w:p>
    <w:p>
      <w:pPr>
        <w:pStyle w:val="ListBullet"/>
        <w:spacing w:after="60"/>
      </w:pPr>
      <w:r>
        <w:rPr>
          <w:rFonts w:ascii="Arial" w:hAnsi="Arial"/>
          <w:b/>
          <w:color w:val="2D3748"/>
          <w:sz w:val="19"/>
        </w:rPr>
        <w:t xml:space="preserve">Phase 2: UI/UX Design &amp; Frontend Development: </w:t>
      </w:r>
      <w:r>
        <w:rPr>
          <w:rFonts w:ascii="Arial" w:hAnsi="Arial"/>
          <w:color w:val="2D3748"/>
          <w:sz w:val="19"/>
        </w:rPr>
        <w:t>Designing and coding responsive, mobile-friendly templates for all pages (Home, About, Curriculum, Programmes, Admissions, Franchise, and Contact).</w:t>
      </w:r>
    </w:p>
    <w:p>
      <w:pPr>
        <w:pStyle w:val="ListBullet"/>
        <w:spacing w:after="60"/>
      </w:pPr>
      <w:r>
        <w:rPr>
          <w:rFonts w:ascii="Arial" w:hAnsi="Arial"/>
          <w:b/>
          <w:color w:val="2D3748"/>
          <w:sz w:val="19"/>
        </w:rPr>
        <w:t xml:space="preserve">Phase 3: Backend &amp; Form Integrations: </w:t>
      </w:r>
      <w:r>
        <w:rPr>
          <w:rFonts w:ascii="Arial" w:hAnsi="Arial"/>
          <w:color w:val="2D3748"/>
          <w:sz w:val="19"/>
        </w:rPr>
        <w:t>Developing lead-capture handlers for school tour bookings, admission requests, and franchise inquiries, with automated admin email notifications.</w:t>
      </w:r>
    </w:p>
    <w:p>
      <w:pPr>
        <w:pStyle w:val="ListBullet"/>
        <w:spacing w:after="60"/>
      </w:pPr>
      <w:r>
        <w:rPr>
          <w:rFonts w:ascii="Arial" w:hAnsi="Arial"/>
          <w:b/>
          <w:color w:val="2D3748"/>
          <w:sz w:val="19"/>
        </w:rPr>
        <w:t xml:space="preserve">Phase 4: Quality Assurance &amp; Testing: </w:t>
      </w:r>
      <w:r>
        <w:rPr>
          <w:rFonts w:ascii="Arial" w:hAnsi="Arial"/>
          <w:color w:val="2D3748"/>
          <w:sz w:val="19"/>
        </w:rPr>
        <w:t>Cross-browser and multi-device testing (mobile/tablet/desktop), form submission checks, speed optimization, and basic on-page SEO setup.</w:t>
      </w:r>
    </w:p>
    <w:p>
      <w:pPr>
        <w:pStyle w:val="ListBullet"/>
        <w:spacing w:after="60"/>
      </w:pPr>
      <w:r>
        <w:rPr>
          <w:rFonts w:ascii="Arial" w:hAnsi="Arial"/>
          <w:b/>
          <w:color w:val="2D3748"/>
          <w:sz w:val="19"/>
        </w:rPr>
        <w:t xml:space="preserve">Phase 5: Deployment &amp; Go-Live: </w:t>
      </w:r>
      <w:r>
        <w:rPr>
          <w:rFonts w:ascii="Arial" w:hAnsi="Arial"/>
          <w:color w:val="2D3748"/>
          <w:sz w:val="19"/>
        </w:rPr>
        <w:t>Server configuration, domain DNS linking, SSL certificate installation, and production deployment.</w:t>
      </w:r>
    </w:p>
    <w:p>
      <w:pPr>
        <w:pStyle w:val="ListBullet"/>
        <w:spacing w:after="60"/>
      </w:pPr>
      <w:r>
        <w:rPr>
          <w:rFonts w:ascii="Arial" w:hAnsi="Arial"/>
          <w:b/>
          <w:color w:val="2D3748"/>
          <w:sz w:val="19"/>
        </w:rPr>
        <w:t xml:space="preserve">Phase 6: Post-Launch Support: </w:t>
      </w:r>
      <w:r>
        <w:rPr>
          <w:rFonts w:ascii="Arial" w:hAnsi="Arial"/>
          <w:color w:val="2D3748"/>
          <w:sz w:val="19"/>
        </w:rPr>
        <w:t>Initial 2-month maintenance period to ensure stable operation and smooth handover.</w:t>
      </w:r>
    </w:p>
    <w:p>
      <w:pPr>
        <w:spacing w:before="280" w:after="80"/>
      </w:pPr>
      <w:r>
        <w:rPr>
          <w:rFonts w:ascii="Arial" w:hAnsi="Arial"/>
          <w:b/>
          <w:color w:val="1A365D"/>
          <w:sz w:val="24"/>
        </w:rPr>
        <w:t>3. Commercial Quotation</w:t>
      </w:r>
    </w:p>
    <w:tbl>
      <w:tblPr>
        <w:tblW w:type="auto" w:w="0"/>
        <w:jc w:val="center"/>
        <w:tblLook w:firstColumn="1" w:firstRow="1" w:lastColumn="0" w:lastRow="0" w:noHBand="0" w:noVBand="1" w:val="04A0"/>
      </w:tblPr>
      <w:tblGrid>
        <w:gridCol w:w="2484"/>
        <w:gridCol w:w="2484"/>
        <w:gridCol w:w="2484"/>
        <w:gridCol w:w="2484"/>
      </w:tblGrid>
      <w:tr>
        <w:tc>
          <w:tcPr>
            <w:tcW w:type="dxa" w:w="864"/>
            <w:shd w:val="clear" w:color="auto" w:fill="1A365D"/>
            <w:tcMar>
              <w:top w:w="100" w:type="dxa"/>
              <w:bottom w:w="100" w:type="dxa"/>
              <w:left w:w="100" w:type="dxa"/>
              <w:right w:w="100" w:type="dxa"/>
            </w:tcMar>
          </w:tcPr>
          <w:p>
            <w:pPr>
              <w:jc w:val="center"/>
            </w:pPr>
            <w:r>
              <w:rPr>
                <w:rFonts w:ascii="Arial" w:hAnsi="Arial"/>
                <w:b/>
                <w:color w:val="FFFFFF"/>
                <w:sz w:val="19"/>
              </w:rPr>
              <w:t>S.No.</w:t>
            </w:r>
          </w:p>
        </w:tc>
        <w:tc>
          <w:tcPr>
            <w:tcW w:type="dxa" w:w="3024"/>
            <w:shd w:val="clear" w:color="auto" w:fill="1A365D"/>
            <w:tcMar>
              <w:top w:w="100" w:type="dxa"/>
              <w:bottom w:w="100" w:type="dxa"/>
              <w:left w:w="100" w:type="dxa"/>
              <w:right w:w="100" w:type="dxa"/>
            </w:tcMar>
          </w:tcPr>
          <w:p>
            <w:r>
              <w:rPr>
                <w:rFonts w:ascii="Arial" w:hAnsi="Arial"/>
                <w:b/>
                <w:color w:val="FFFFFF"/>
                <w:sz w:val="19"/>
              </w:rPr>
              <w:t>Component</w:t>
            </w:r>
          </w:p>
        </w:tc>
        <w:tc>
          <w:tcPr>
            <w:tcW w:type="dxa" w:w="4320"/>
            <w:shd w:val="clear" w:color="auto" w:fill="1A365D"/>
            <w:tcMar>
              <w:top w:w="100" w:type="dxa"/>
              <w:bottom w:w="100" w:type="dxa"/>
              <w:left w:w="100" w:type="dxa"/>
              <w:right w:w="100" w:type="dxa"/>
            </w:tcMar>
          </w:tcPr>
          <w:p>
            <w:r>
              <w:rPr>
                <w:rFonts w:ascii="Arial" w:hAnsi="Arial"/>
                <w:b/>
                <w:color w:val="FFFFFF"/>
                <w:sz w:val="19"/>
              </w:rPr>
              <w:t>Scope Summary</w:t>
            </w:r>
          </w:p>
        </w:tc>
        <w:tc>
          <w:tcPr>
            <w:tcW w:type="dxa" w:w="1584"/>
            <w:shd w:val="clear" w:color="auto" w:fill="1A365D"/>
            <w:tcMar>
              <w:top w:w="100" w:type="dxa"/>
              <w:bottom w:w="100" w:type="dxa"/>
              <w:left w:w="100" w:type="dxa"/>
              <w:right w:w="100" w:type="dxa"/>
            </w:tcMar>
          </w:tcPr>
          <w:p>
            <w:pPr>
              <w:jc w:val="center"/>
            </w:pPr>
            <w:r>
              <w:rPr>
                <w:rFonts w:ascii="Arial" w:hAnsi="Arial"/>
                <w:b/>
                <w:color w:val="FFFFFF"/>
                <w:sz w:val="19"/>
              </w:rPr>
              <w:t>Amount</w:t>
            </w:r>
          </w:p>
        </w:tc>
      </w:tr>
      <w:tr>
        <w:tc>
          <w:tcPr>
            <w:tcW w:type="dxa" w:w="864"/>
            <w:tcMar>
              <w:top w:w="80" w:type="dxa"/>
              <w:bottom w:w="80" w:type="dxa"/>
              <w:left w:w="100" w:type="dxa"/>
              <w:right w:w="100" w:type="dxa"/>
            </w:tcMar>
          </w:tcPr>
          <w:p>
            <w:pPr>
              <w:jc w:val="center"/>
            </w:pPr>
            <w:r>
              <w:rPr>
                <w:rFonts w:ascii="Arial" w:hAnsi="Arial"/>
                <w:color w:val="2D3748"/>
                <w:sz w:val="19"/>
              </w:rPr>
              <w:t>1.</w:t>
            </w:r>
          </w:p>
        </w:tc>
        <w:tc>
          <w:tcPr>
            <w:tcW w:type="dxa" w:w="3024"/>
            <w:tcMar>
              <w:top w:w="80" w:type="dxa"/>
              <w:bottom w:w="80" w:type="dxa"/>
              <w:left w:w="100" w:type="dxa"/>
              <w:right w:w="100" w:type="dxa"/>
            </w:tcMar>
          </w:tcPr>
          <w:p>
            <w:r>
              <w:rPr>
                <w:rFonts w:ascii="Arial" w:hAnsi="Arial"/>
                <w:b/>
                <w:color w:val="2D3748"/>
                <w:sz w:val="19"/>
              </w:rPr>
              <w:t>Design &amp; Frontend Development</w:t>
            </w:r>
          </w:p>
        </w:tc>
        <w:tc>
          <w:tcPr>
            <w:tcW w:type="dxa" w:w="4320"/>
            <w:tcMar>
              <w:top w:w="80" w:type="dxa"/>
              <w:bottom w:w="80" w:type="dxa"/>
              <w:left w:w="100" w:type="dxa"/>
              <w:right w:w="100" w:type="dxa"/>
            </w:tcMar>
          </w:tcPr>
          <w:p>
            <w:r>
              <w:rPr>
                <w:rFonts w:ascii="Arial" w:hAnsi="Arial"/>
                <w:color w:val="2D3748"/>
                <w:sz w:val="19"/>
              </w:rPr>
              <w:t>Modern, responsive layouts, mobile-first design, interactive elements, and content styling across all key sections.</w:t>
            </w:r>
          </w:p>
        </w:tc>
        <w:tc>
          <w:tcPr>
            <w:tcW w:type="dxa" w:w="1584"/>
            <w:tcMar>
              <w:top w:w="80" w:type="dxa"/>
              <w:bottom w:w="80" w:type="dxa"/>
              <w:left w:w="100" w:type="dxa"/>
              <w:right w:w="100" w:type="dxa"/>
            </w:tcMar>
          </w:tcPr>
          <w:p>
            <w:pPr>
              <w:jc w:val="right"/>
            </w:pPr>
            <w:r>
              <w:rPr>
                <w:rFonts w:ascii="Arial" w:hAnsi="Arial"/>
                <w:b/>
                <w:color w:val="2D3748"/>
                <w:sz w:val="19"/>
              </w:rPr>
              <w:t>Rs. 7,000</w:t>
            </w:r>
          </w:p>
        </w:tc>
      </w:tr>
      <w:tr>
        <w:tc>
          <w:tcPr>
            <w:tcW w:type="dxa" w:w="864"/>
            <w:tcMar>
              <w:top w:w="80" w:type="dxa"/>
              <w:bottom w:w="80" w:type="dxa"/>
              <w:left w:w="100" w:type="dxa"/>
              <w:right w:w="100" w:type="dxa"/>
            </w:tcMar>
          </w:tcPr>
          <w:p>
            <w:pPr>
              <w:jc w:val="center"/>
            </w:pPr>
            <w:r>
              <w:rPr>
                <w:rFonts w:ascii="Arial" w:hAnsi="Arial"/>
                <w:color w:val="2D3748"/>
                <w:sz w:val="19"/>
              </w:rPr>
              <w:t>2.</w:t>
            </w:r>
          </w:p>
        </w:tc>
        <w:tc>
          <w:tcPr>
            <w:tcW w:type="dxa" w:w="3024"/>
            <w:tcMar>
              <w:top w:w="80" w:type="dxa"/>
              <w:bottom w:w="80" w:type="dxa"/>
              <w:left w:w="100" w:type="dxa"/>
              <w:right w:w="100" w:type="dxa"/>
            </w:tcMar>
          </w:tcPr>
          <w:p>
            <w:r>
              <w:rPr>
                <w:rFonts w:ascii="Arial" w:hAnsi="Arial"/>
                <w:b/>
                <w:color w:val="2D3748"/>
                <w:sz w:val="19"/>
              </w:rPr>
              <w:t>Backend Development</w:t>
            </w:r>
          </w:p>
        </w:tc>
        <w:tc>
          <w:tcPr>
            <w:tcW w:type="dxa" w:w="4320"/>
            <w:tcMar>
              <w:top w:w="80" w:type="dxa"/>
              <w:bottom w:w="80" w:type="dxa"/>
              <w:left w:w="100" w:type="dxa"/>
              <w:right w:w="100" w:type="dxa"/>
            </w:tcMar>
          </w:tcPr>
          <w:p>
            <w:r>
              <w:rPr>
                <w:rFonts w:ascii="Arial" w:hAnsi="Arial"/>
                <w:color w:val="2D3748"/>
                <w:sz w:val="19"/>
              </w:rPr>
              <w:t>Lead generation forms, automated email routing for admissions and franchise inquiries, and basic spam protection.</w:t>
            </w:r>
          </w:p>
        </w:tc>
        <w:tc>
          <w:tcPr>
            <w:tcW w:type="dxa" w:w="1584"/>
            <w:tcMar>
              <w:top w:w="80" w:type="dxa"/>
              <w:bottom w:w="80" w:type="dxa"/>
              <w:left w:w="100" w:type="dxa"/>
              <w:right w:w="100" w:type="dxa"/>
            </w:tcMar>
          </w:tcPr>
          <w:p>
            <w:pPr>
              <w:jc w:val="right"/>
            </w:pPr>
            <w:r>
              <w:rPr>
                <w:rFonts w:ascii="Arial" w:hAnsi="Arial"/>
                <w:b/>
                <w:color w:val="2D3748"/>
                <w:sz w:val="19"/>
              </w:rPr>
              <w:t>Rs. 4,000</w:t>
            </w:r>
          </w:p>
        </w:tc>
      </w:tr>
      <w:tr>
        <w:tc>
          <w:tcPr>
            <w:tcW w:type="dxa" w:w="864"/>
            <w:tcMar>
              <w:top w:w="80" w:type="dxa"/>
              <w:bottom w:w="80" w:type="dxa"/>
              <w:left w:w="100" w:type="dxa"/>
              <w:right w:w="100" w:type="dxa"/>
            </w:tcMar>
          </w:tcPr>
          <w:p>
            <w:pPr>
              <w:jc w:val="center"/>
            </w:pPr>
            <w:r>
              <w:rPr>
                <w:rFonts w:ascii="Arial" w:hAnsi="Arial"/>
                <w:color w:val="2D3748"/>
                <w:sz w:val="19"/>
              </w:rPr>
              <w:t>3.</w:t>
            </w:r>
          </w:p>
        </w:tc>
        <w:tc>
          <w:tcPr>
            <w:tcW w:type="dxa" w:w="3024"/>
            <w:tcMar>
              <w:top w:w="80" w:type="dxa"/>
              <w:bottom w:w="80" w:type="dxa"/>
              <w:left w:w="100" w:type="dxa"/>
              <w:right w:w="100" w:type="dxa"/>
            </w:tcMar>
          </w:tcPr>
          <w:p>
            <w:r>
              <w:rPr>
                <w:rFonts w:ascii="Arial" w:hAnsi="Arial"/>
                <w:b/>
                <w:color w:val="2D3748"/>
                <w:sz w:val="19"/>
              </w:rPr>
              <w:t>Testing &amp; QA</w:t>
            </w:r>
          </w:p>
        </w:tc>
        <w:tc>
          <w:tcPr>
            <w:tcW w:type="dxa" w:w="4320"/>
            <w:tcMar>
              <w:top w:w="80" w:type="dxa"/>
              <w:bottom w:w="80" w:type="dxa"/>
              <w:left w:w="100" w:type="dxa"/>
              <w:right w:w="100" w:type="dxa"/>
            </w:tcMar>
          </w:tcPr>
          <w:p>
            <w:r>
              <w:rPr>
                <w:rFonts w:ascii="Arial" w:hAnsi="Arial"/>
                <w:color w:val="2D3748"/>
                <w:sz w:val="19"/>
              </w:rPr>
              <w:t>Responsive screen verification, cross-browser compatibility, form validation, and performance optimization.</w:t>
            </w:r>
          </w:p>
        </w:tc>
        <w:tc>
          <w:tcPr>
            <w:tcW w:type="dxa" w:w="1584"/>
            <w:tcMar>
              <w:top w:w="80" w:type="dxa"/>
              <w:bottom w:w="80" w:type="dxa"/>
              <w:left w:w="100" w:type="dxa"/>
              <w:right w:w="100" w:type="dxa"/>
            </w:tcMar>
          </w:tcPr>
          <w:p>
            <w:pPr>
              <w:jc w:val="right"/>
            </w:pPr>
            <w:r>
              <w:rPr>
                <w:rFonts w:ascii="Arial" w:hAnsi="Arial"/>
                <w:b/>
                <w:color w:val="2D3748"/>
                <w:sz w:val="19"/>
              </w:rPr>
              <w:t>Rs. 2,000</w:t>
            </w:r>
          </w:p>
        </w:tc>
      </w:tr>
      <w:tr>
        <w:tc>
          <w:tcPr>
            <w:tcW w:type="dxa" w:w="864"/>
            <w:tcMar>
              <w:top w:w="80" w:type="dxa"/>
              <w:bottom w:w="80" w:type="dxa"/>
              <w:left w:w="100" w:type="dxa"/>
              <w:right w:w="100" w:type="dxa"/>
            </w:tcMar>
          </w:tcPr>
          <w:p>
            <w:pPr>
              <w:jc w:val="center"/>
            </w:pPr>
            <w:r>
              <w:rPr>
                <w:rFonts w:ascii="Arial" w:hAnsi="Arial"/>
                <w:color w:val="2D3748"/>
                <w:sz w:val="19"/>
              </w:rPr>
              <w:t>4.</w:t>
            </w:r>
          </w:p>
        </w:tc>
        <w:tc>
          <w:tcPr>
            <w:tcW w:type="dxa" w:w="3024"/>
            <w:tcMar>
              <w:top w:w="80" w:type="dxa"/>
              <w:bottom w:w="80" w:type="dxa"/>
              <w:left w:w="100" w:type="dxa"/>
              <w:right w:w="100" w:type="dxa"/>
            </w:tcMar>
          </w:tcPr>
          <w:p>
            <w:r>
              <w:rPr>
                <w:rFonts w:ascii="Arial" w:hAnsi="Arial"/>
                <w:b/>
                <w:color w:val="2D3748"/>
                <w:sz w:val="19"/>
              </w:rPr>
              <w:t>Hosting Setup &amp; Deployment*</w:t>
            </w:r>
          </w:p>
        </w:tc>
        <w:tc>
          <w:tcPr>
            <w:tcW w:type="dxa" w:w="4320"/>
            <w:tcMar>
              <w:top w:w="80" w:type="dxa"/>
              <w:bottom w:w="80" w:type="dxa"/>
              <w:left w:w="100" w:type="dxa"/>
              <w:right w:w="100" w:type="dxa"/>
            </w:tcMar>
          </w:tcPr>
          <w:p>
            <w:r>
              <w:rPr>
                <w:rFonts w:ascii="Arial" w:hAnsi="Arial"/>
                <w:color w:val="2D3748"/>
                <w:sz w:val="19"/>
              </w:rPr>
              <w:t>Server configuration, DNS mapping, SSL (HTTPS) setup, and final production launch.</w:t>
            </w:r>
          </w:p>
        </w:tc>
        <w:tc>
          <w:tcPr>
            <w:tcW w:type="dxa" w:w="1584"/>
            <w:tcMar>
              <w:top w:w="80" w:type="dxa"/>
              <w:bottom w:w="80" w:type="dxa"/>
              <w:left w:w="100" w:type="dxa"/>
              <w:right w:w="100" w:type="dxa"/>
            </w:tcMar>
          </w:tcPr>
          <w:p>
            <w:pPr>
              <w:jc w:val="right"/>
            </w:pPr>
            <w:r>
              <w:rPr>
                <w:rFonts w:ascii="Arial" w:hAnsi="Arial"/>
                <w:b/>
                <w:color w:val="2D3748"/>
                <w:sz w:val="19"/>
              </w:rPr>
              <w:t>Rs. 2,000</w:t>
            </w:r>
          </w:p>
        </w:tc>
      </w:tr>
      <w:tr>
        <w:tc>
          <w:tcPr>
            <w:tcW w:type="dxa" w:w="864"/>
            <w:tcMar>
              <w:top w:w="80" w:type="dxa"/>
              <w:bottom w:w="80" w:type="dxa"/>
              <w:left w:w="100" w:type="dxa"/>
              <w:right w:w="100" w:type="dxa"/>
            </w:tcMar>
          </w:tcPr>
          <w:p>
            <w:pPr>
              <w:jc w:val="center"/>
            </w:pPr>
            <w:r>
              <w:rPr>
                <w:rFonts w:ascii="Arial" w:hAnsi="Arial"/>
                <w:color w:val="2D3748"/>
                <w:sz w:val="19"/>
              </w:rPr>
              <w:t>5.</w:t>
            </w:r>
          </w:p>
        </w:tc>
        <w:tc>
          <w:tcPr>
            <w:tcW w:type="dxa" w:w="3024"/>
            <w:tcMar>
              <w:top w:w="80" w:type="dxa"/>
              <w:bottom w:w="80" w:type="dxa"/>
              <w:left w:w="100" w:type="dxa"/>
              <w:right w:w="100" w:type="dxa"/>
            </w:tcMar>
          </w:tcPr>
          <w:p>
            <w:r>
              <w:rPr>
                <w:rFonts w:ascii="Arial" w:hAnsi="Arial"/>
                <w:b/>
                <w:color w:val="2D3748"/>
                <w:sz w:val="19"/>
              </w:rPr>
              <w:t>2 Months Maintenance</w:t>
            </w:r>
          </w:p>
        </w:tc>
        <w:tc>
          <w:tcPr>
            <w:tcW w:type="dxa" w:w="4320"/>
            <w:tcMar>
              <w:top w:w="80" w:type="dxa"/>
              <w:bottom w:w="80" w:type="dxa"/>
              <w:left w:w="100" w:type="dxa"/>
              <w:right w:w="100" w:type="dxa"/>
            </w:tcMar>
          </w:tcPr>
          <w:p>
            <w:r>
              <w:rPr>
                <w:rFonts w:ascii="Arial" w:hAnsi="Arial"/>
                <w:color w:val="2D3748"/>
                <w:sz w:val="19"/>
              </w:rPr>
              <w:t>Included technical support, routine checks, and minor updates post-deployment.</w:t>
            </w:r>
          </w:p>
        </w:tc>
        <w:tc>
          <w:tcPr>
            <w:tcW w:type="dxa" w:w="1584"/>
            <w:tcMar>
              <w:top w:w="80" w:type="dxa"/>
              <w:bottom w:w="80" w:type="dxa"/>
              <w:left w:w="100" w:type="dxa"/>
              <w:right w:w="100" w:type="dxa"/>
            </w:tcMar>
          </w:tcPr>
          <w:p>
            <w:pPr>
              <w:jc w:val="right"/>
            </w:pPr>
            <w:r>
              <w:rPr>
                <w:rFonts w:ascii="Arial" w:hAnsi="Arial"/>
                <w:b/>
                <w:color w:val="2D3748"/>
                <w:sz w:val="19"/>
              </w:rPr>
              <w:t>Included (Rs. 0)</w:t>
            </w:r>
          </w:p>
        </w:tc>
      </w:tr>
      <w:tr>
        <w:tc>
          <w:tcPr>
            <w:tcW w:type="dxa" w:w="864"/>
            <w:tcMar>
              <w:top w:w="80" w:type="dxa"/>
              <w:bottom w:w="80" w:type="dxa"/>
              <w:left w:w="100" w:type="dxa"/>
              <w:right w:w="100" w:type="dxa"/>
            </w:tcMar>
            <w:shd w:val="clear" w:color="auto" w:fill="EDF2F7"/>
          </w:tcPr>
          <w:p>
            <w:pPr>
              <w:jc w:val="center"/>
            </w:pPr>
            <w:r>
              <w:rPr>
                <w:rFonts w:ascii="Arial" w:hAnsi="Arial"/>
                <w:b/>
                <w:color w:val="1A365D"/>
                <w:sz w:val="19"/>
              </w:rPr>
            </w:r>
          </w:p>
        </w:tc>
        <w:tc>
          <w:tcPr>
            <w:tcW w:type="dxa" w:w="3024"/>
            <w:tcMar>
              <w:top w:w="80" w:type="dxa"/>
              <w:bottom w:w="80" w:type="dxa"/>
              <w:left w:w="100" w:type="dxa"/>
              <w:right w:w="100" w:type="dxa"/>
            </w:tcMar>
            <w:shd w:val="clear" w:color="auto" w:fill="EDF2F7"/>
          </w:tcPr>
          <w:p>
            <w:r>
              <w:rPr>
                <w:rFonts w:ascii="Arial" w:hAnsi="Arial"/>
                <w:b/>
                <w:color w:val="1A365D"/>
                <w:sz w:val="19"/>
              </w:rPr>
              <w:t>Total Project Cost</w:t>
            </w:r>
          </w:p>
        </w:tc>
        <w:tc>
          <w:tcPr>
            <w:tcW w:type="dxa" w:w="4320"/>
            <w:tcMar>
              <w:top w:w="80" w:type="dxa"/>
              <w:bottom w:w="80" w:type="dxa"/>
              <w:left w:w="100" w:type="dxa"/>
              <w:right w:w="100" w:type="dxa"/>
            </w:tcMar>
            <w:shd w:val="clear" w:color="auto" w:fill="EDF2F7"/>
          </w:tcPr>
          <w:p>
            <w:r>
              <w:rPr>
                <w:rFonts w:ascii="Arial" w:hAnsi="Arial"/>
                <w:b/>
                <w:color w:val="1A365D"/>
                <w:sz w:val="19"/>
              </w:rPr>
            </w:r>
          </w:p>
        </w:tc>
        <w:tc>
          <w:tcPr>
            <w:tcW w:type="dxa" w:w="1584"/>
            <w:tcMar>
              <w:top w:w="80" w:type="dxa"/>
              <w:bottom w:w="80" w:type="dxa"/>
              <w:left w:w="100" w:type="dxa"/>
              <w:right w:w="100" w:type="dxa"/>
            </w:tcMar>
            <w:shd w:val="clear" w:color="auto" w:fill="EDF2F7"/>
          </w:tcPr>
          <w:p>
            <w:pPr>
              <w:jc w:val="right"/>
            </w:pPr>
            <w:r>
              <w:rPr>
                <w:rFonts w:ascii="Arial" w:hAnsi="Arial"/>
                <w:b/>
                <w:color w:val="1A365D"/>
                <w:sz w:val="19"/>
              </w:rPr>
              <w:t>Rs. 15,000</w:t>
            </w:r>
          </w:p>
        </w:tc>
      </w:tr>
    </w:tbl>
    <w:p>
      <w:pPr>
        <w:spacing w:before="120" w:after="120"/>
      </w:pPr>
      <w:r>
        <w:rPr>
          <w:rFonts w:ascii="Arial" w:hAnsi="Arial"/>
          <w:b/>
          <w:color w:val="2D3748"/>
          <w:sz w:val="17"/>
        </w:rPr>
        <w:t xml:space="preserve">* Note on Domain &amp; Hosting: </w:t>
      </w:r>
      <w:r>
        <w:rPr>
          <w:rFonts w:ascii="Arial" w:hAnsi="Arial"/>
          <w:color w:val="718096"/>
          <w:sz w:val="17"/>
        </w:rPr>
        <w:t>The quoted fee covers setup, integration, and deployment configuration. Actual recurring domain registration and hosting server subscription costs are payable directly by the client and will vary depending on the service provider and tier selected (e.g., Hostinger, GoDaddy, AWS, etc.). Guidance and setup assistance are included.</w:t>
      </w:r>
    </w:p>
    <w:p>
      <w:pPr>
        <w:spacing w:before="280" w:after="80"/>
      </w:pPr>
      <w:r>
        <w:rPr>
          <w:rFonts w:ascii="Arial" w:hAnsi="Arial"/>
          <w:b/>
          <w:color w:val="1A365D"/>
          <w:sz w:val="24"/>
        </w:rPr>
        <w:t>4. Payment Terms &amp; Bank / Transfer Details</w:t>
      </w:r>
    </w:p>
    <w:p>
      <w:pPr>
        <w:spacing w:after="80"/>
      </w:pPr>
      <w:r>
        <w:rPr>
          <w:sz w:val="19"/>
        </w:rPr>
        <w:t>• Milestone 1 (Advance on Commencement): 50% (Rs. 7,500)</w:t>
        <w:br/>
      </w:r>
      <w:r>
        <w:rPr>
          <w:sz w:val="19"/>
        </w:rPr>
        <w:t>• Milestone 2 (Final Payment on Delivery &amp; Go-Live): 50% (Rs. 7,500)</w:t>
      </w:r>
    </w:p>
    <w:tbl>
      <w:tblPr>
        <w:tblW w:type="auto" w:w="0"/>
        <w:jc w:val="center"/>
        <w:tblLook w:firstColumn="1" w:firstRow="1" w:lastColumn="0" w:lastRow="0" w:noHBand="0" w:noVBand="1" w:val="04A0"/>
      </w:tblPr>
      <w:tblGrid>
        <w:gridCol w:w="4968"/>
        <w:gridCol w:w="4968"/>
      </w:tblGrid>
      <w:tr>
        <w:tc>
          <w:tcPr>
            <w:tcW w:type="dxa" w:w="4896"/>
            <w:shd w:val="clear" w:color="auto" w:fill="F7FAFC"/>
            <w:tcMar>
              <w:top w:w="90" w:type="dxa"/>
              <w:bottom w:w="90" w:type="dxa"/>
              <w:left w:w="120" w:type="dxa"/>
              <w:right w:w="120" w:type="dxa"/>
            </w:tcMar>
          </w:tcPr>
          <w:p>
            <w:r>
              <w:rPr>
                <w:b/>
                <w:color w:val="1A365D"/>
                <w:sz w:val="19"/>
              </w:rPr>
              <w:t>Bank Account Details:</w:t>
              <w:br/>
            </w:r>
            <w:r>
              <w:rPr>
                <w:sz w:val="18"/>
              </w:rPr>
              <w:t>Account Name: Mridul Sharma</w:t>
              <w:br/>
              <w:t>Account No: 40773219649</w:t>
              <w:br/>
              <w:t>IFSC Code: SBIN0015368</w:t>
              <w:br/>
              <w:t>Bank: State Bank of India</w:t>
              <w:br/>
              <w:t>Branch: Sasni Gate, Aligarh</w:t>
            </w:r>
          </w:p>
        </w:tc>
        <w:tc>
          <w:tcPr>
            <w:tcW w:type="dxa" w:w="4896"/>
            <w:shd w:val="clear" w:color="auto" w:fill="F7FAFC"/>
            <w:tcMar>
              <w:top w:w="90" w:type="dxa"/>
              <w:bottom w:w="90" w:type="dxa"/>
              <w:left w:w="120" w:type="dxa"/>
              <w:right w:w="120" w:type="dxa"/>
            </w:tcMar>
          </w:tcPr>
          <w:p>
            <w:r>
              <w:rPr>
                <w:b/>
                <w:color w:val="1A365D"/>
                <w:sz w:val="19"/>
              </w:rPr>
              <w:t>UPI Transfer Details:</w:t>
              <w:br/>
            </w:r>
            <w:r>
              <w:rPr>
                <w:sz w:val="18"/>
              </w:rPr>
              <w:t>UPI ID: mridulsharma118@pingpay</w:t>
              <w:br/>
              <w:t>Name: Mridul Sharma</w:t>
              <w:br/>
              <w:t>Phone: +91 6396732226</w:t>
              <w:br/>
              <w:t>(Accepted on GPay, PhonePe, Paytm, BHIM)</w:t>
            </w:r>
          </w:p>
        </w:tc>
      </w:tr>
    </w:tbl>
    <w:p>
      <w:pPr>
        <w:spacing w:before="280" w:after="80"/>
      </w:pPr>
      <w:r>
        <w:rPr>
          <w:rFonts w:ascii="Arial" w:hAnsi="Arial"/>
          <w:b/>
          <w:color w:val="1A365D"/>
          <w:sz w:val="24"/>
        </w:rPr>
        <w:t>5. Scope of 2 Months Included Maintenance</w:t>
      </w:r>
    </w:p>
    <w:p>
      <w:pPr>
        <w:spacing w:after="80"/>
      </w:pPr>
      <w:r>
        <w:rPr>
          <w:rFonts w:ascii="Arial" w:hAnsi="Arial"/>
          <w:color w:val="2D3748"/>
          <w:sz w:val="19"/>
        </w:rPr>
        <w:t>The quotation includes 2 months of complimentary maintenance following the final launch date for general operational upkeep:</w:t>
      </w:r>
    </w:p>
    <w:p>
      <w:pPr>
        <w:pStyle w:val="ListBullet"/>
        <w:spacing w:after="50"/>
      </w:pPr>
      <w:r>
        <w:rPr>
          <w:rFonts w:ascii="Arial" w:hAnsi="Arial"/>
          <w:b/>
          <w:color w:val="2D3748"/>
          <w:sz w:val="18"/>
        </w:rPr>
        <w:t xml:space="preserve">Bug Fixes &amp; Technical Troubleshooting: </w:t>
      </w:r>
      <w:r>
        <w:rPr>
          <w:rFonts w:ascii="Arial" w:hAnsi="Arial"/>
          <w:color w:val="2D3748"/>
          <w:sz w:val="18"/>
        </w:rPr>
        <w:t>Resolving any display issues, broken links, or functionality errors that arise post-launch.</w:t>
      </w:r>
    </w:p>
    <w:p>
      <w:pPr>
        <w:pStyle w:val="ListBullet"/>
        <w:spacing w:after="50"/>
      </w:pPr>
      <w:r>
        <w:rPr>
          <w:rFonts w:ascii="Arial" w:hAnsi="Arial"/>
          <w:b/>
          <w:color w:val="2D3748"/>
          <w:sz w:val="18"/>
        </w:rPr>
        <w:t xml:space="preserve">Minor Content &amp; Image Updates: </w:t>
      </w:r>
      <w:r>
        <w:rPr>
          <w:rFonts w:ascii="Arial" w:hAnsi="Arial"/>
          <w:color w:val="2D3748"/>
          <w:sz w:val="18"/>
        </w:rPr>
        <w:t>Updating text (such as phone numbers, dates, timings, or fee notes) and replacing existing images/banners as supplied by the client.</w:t>
      </w:r>
    </w:p>
    <w:p>
      <w:pPr>
        <w:pStyle w:val="ListBullet"/>
        <w:spacing w:after="50"/>
      </w:pPr>
      <w:r>
        <w:rPr>
          <w:rFonts w:ascii="Arial" w:hAnsi="Arial"/>
          <w:b/>
          <w:color w:val="2D3748"/>
          <w:sz w:val="18"/>
        </w:rPr>
        <w:t xml:space="preserve">Form &amp; Lead Verification: </w:t>
      </w:r>
      <w:r>
        <w:rPr>
          <w:rFonts w:ascii="Arial" w:hAnsi="Arial"/>
          <w:color w:val="2D3748"/>
          <w:sz w:val="18"/>
        </w:rPr>
        <w:t>Routine health checks to ensure enquiry forms (Admissions, Tour Bookings, Franchise) continue delivering leads without email bounce issues.</w:t>
      </w:r>
    </w:p>
    <w:p>
      <w:pPr>
        <w:pStyle w:val="ListBullet"/>
        <w:spacing w:after="50"/>
      </w:pPr>
      <w:r>
        <w:rPr>
          <w:rFonts w:ascii="Arial" w:hAnsi="Arial"/>
          <w:b/>
          <w:color w:val="2D3748"/>
          <w:sz w:val="18"/>
        </w:rPr>
        <w:t xml:space="preserve">Security &amp; SSL Monitoring: </w:t>
      </w:r>
      <w:r>
        <w:rPr>
          <w:rFonts w:ascii="Arial" w:hAnsi="Arial"/>
          <w:color w:val="2D3748"/>
          <w:sz w:val="18"/>
        </w:rPr>
        <w:t>Ensuring the SSL certificate stays active and basic security/uptime parameters are maintained.</w:t>
      </w:r>
    </w:p>
    <w:p>
      <w:pPr>
        <w:pStyle w:val="ListBullet"/>
        <w:spacing w:after="50"/>
      </w:pPr>
      <w:r>
        <w:rPr>
          <w:rFonts w:ascii="Arial" w:hAnsi="Arial"/>
          <w:b/>
          <w:color w:val="2D3748"/>
          <w:sz w:val="18"/>
        </w:rPr>
        <w:t xml:space="preserve">Backups &amp; Technical Guidance: </w:t>
      </w:r>
      <w:r>
        <w:rPr>
          <w:rFonts w:ascii="Arial" w:hAnsi="Arial"/>
          <w:color w:val="2D3748"/>
          <w:sz w:val="18"/>
        </w:rPr>
        <w:t>Creating periodic backups of website files/database and offering technical advice on domain/hosting upkeep.</w:t>
      </w:r>
    </w:p>
    <w:p>
      <w:pPr>
        <w:spacing w:before="80"/>
      </w:pPr>
      <w:r>
        <w:rPr>
          <w:rFonts w:ascii="Arial" w:hAnsi="Arial"/>
          <w:i/>
          <w:color w:val="718096"/>
          <w:sz w:val="17"/>
        </w:rPr>
        <w:t>(Note: Maintenance covers upkeep of the delivered scope. Creation of new custom pages, major structural redesigns, or third-party paid subscriptions are not included in standard maintenance.)</w:t>
      </w:r>
    </w:p>
    <w:p>
      <w:pPr>
        <w:spacing w:before="280" w:after="80"/>
      </w:pPr>
      <w:r>
        <w:rPr>
          <w:rFonts w:ascii="Arial" w:hAnsi="Arial"/>
          <w:b/>
          <w:color w:val="1A365D"/>
          <w:sz w:val="24"/>
        </w:rPr>
        <w:t>6. Acceptance &amp; Approval</w:t>
      </w:r>
    </w:p>
    <w:p>
      <w:pPr>
        <w:spacing w:after="160"/>
      </w:pPr>
      <w:r>
        <w:rPr>
          <w:sz w:val="18"/>
        </w:rPr>
        <w:t>By signing below, the client approves the scope, phases, commercials, and payment terms detailed in this quotation.</w:t>
      </w:r>
    </w:p>
    <w:tbl>
      <w:tblPr>
        <w:tblW w:type="auto" w:w="0"/>
        <w:jc w:val="center"/>
        <w:tblLook w:firstColumn="1" w:firstRow="1" w:lastColumn="0" w:lastRow="0" w:noHBand="0" w:noVBand="1" w:val="04A0"/>
      </w:tblPr>
      <w:tblGrid>
        <w:gridCol w:w="4968"/>
        <w:gridCol w:w="4968"/>
      </w:tblGrid>
      <w:tr>
        <w:tc>
          <w:tcPr>
            <w:tcW w:type="dxa" w:w="4896"/>
            <w:tcMar>
              <w:top w:w="120" w:type="dxa"/>
              <w:bottom w:w="120" w:type="dxa"/>
              <w:left w:w="100" w:type="dxa"/>
              <w:right w:w="100" w:type="dxa"/>
            </w:tcMar>
          </w:tcPr>
          <w:p>
            <w:r>
              <w:rPr>
                <w:sz w:val="18"/>
              </w:rPr>
              <w:t>Prepared &amp; Submitted by:</w:t>
              <w:br/>
              <w:br/>
              <w:br/>
              <w:t>___________________________</w:t>
              <w:br/>
            </w:r>
            <w:r>
              <w:rPr>
                <w:b/>
                <w:sz w:val="18"/>
              </w:rPr>
              <w:t>Mridul Sharma</w:t>
              <w:br/>
              <w:t>Web Developer &amp; Consultant</w:t>
            </w:r>
          </w:p>
        </w:tc>
        <w:tc>
          <w:tcPr>
            <w:tcW w:type="dxa" w:w="4896"/>
            <w:tcMar>
              <w:top w:w="120" w:type="dxa"/>
              <w:bottom w:w="120" w:type="dxa"/>
              <w:left w:w="100" w:type="dxa"/>
              <w:right w:w="100" w:type="dxa"/>
            </w:tcMar>
          </w:tcPr>
          <w:p>
            <w:r>
              <w:rPr>
                <w:sz w:val="18"/>
              </w:rPr>
              <w:t>Accepted &amp; Approved by:</w:t>
              <w:br/>
              <w:br/>
              <w:br/>
              <w:t>___________________________</w:t>
              <w:br/>
            </w:r>
            <w:r>
              <w:rPr>
                <w:b/>
                <w:sz w:val="18"/>
              </w:rPr>
              <w:t>Authorized Signatory</w:t>
              <w:br/>
              <w:t>Blooming Era Preschools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