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C2F2C9"/>
    <w:p w14:paraId="429CA666"/>
    <w:p w14:paraId="650B18F3"/>
    <w:p w14:paraId="2877EDD6">
      <w:pPr>
        <w:spacing w:before="100" w:after="200"/>
        <w:jc w:val="center"/>
      </w:pPr>
      <w:r>
        <w:rPr>
          <w:rFonts w:ascii="Times New Roman" w:hAnsi="Times New Roman" w:eastAsia="Times New Roman" w:cs="Times New Roman"/>
          <w:b/>
          <w:bCs/>
          <w:i w:val="0"/>
          <w:iCs w:val="0"/>
          <w:color w:val="000000"/>
          <w:sz w:val="28"/>
          <w:szCs w:val="28"/>
        </w:rPr>
        <w:t>DATA SCIENCE MINOR PROJECT REPORT</w:t>
      </w:r>
    </w:p>
    <w:p w14:paraId="5049B5C0">
      <w:pPr>
        <w:spacing w:before="100" w:after="200"/>
        <w:jc w:val="center"/>
      </w:pPr>
      <w:r>
        <w:rPr>
          <w:rFonts w:ascii="Times New Roman" w:hAnsi="Times New Roman" w:eastAsia="Times New Roman" w:cs="Times New Roman"/>
          <w:b w:val="0"/>
          <w:bCs w:val="0"/>
          <w:i w:val="0"/>
          <w:iCs w:val="0"/>
          <w:color w:val="000000"/>
          <w:sz w:val="24"/>
          <w:szCs w:val="24"/>
        </w:rPr>
        <w:t>(Project Semester: January – April 2025)</w:t>
      </w:r>
    </w:p>
    <w:p w14:paraId="1F28CBA7">
      <w:pPr>
        <w:pBdr>
          <w:bottom w:val="single" w:color="2E75B6" w:sz="4" w:space="1"/>
        </w:pBdr>
        <w:spacing w:before="100" w:after="100"/>
      </w:pPr>
    </w:p>
    <w:p w14:paraId="2D56DCA9"/>
    <w:p w14:paraId="67A1DC52">
      <w:pPr>
        <w:spacing w:before="100" w:after="100"/>
        <w:jc w:val="center"/>
      </w:pPr>
      <w:r>
        <w:rPr>
          <w:rFonts w:ascii="Times New Roman" w:hAnsi="Times New Roman" w:eastAsia="Times New Roman" w:cs="Times New Roman"/>
          <w:b/>
          <w:bCs/>
          <w:i w:val="0"/>
          <w:iCs w:val="0"/>
          <w:color w:val="000000"/>
          <w:sz w:val="32"/>
          <w:szCs w:val="32"/>
        </w:rPr>
        <w:t>GLOBAL ECONOMIC INDICATORS ANALYSIS</w:t>
      </w:r>
    </w:p>
    <w:p w14:paraId="2BBC6F1A">
      <w:pPr>
        <w:spacing w:before="100" w:after="80"/>
        <w:jc w:val="center"/>
      </w:pPr>
      <w:r>
        <w:rPr>
          <w:rFonts w:ascii="Times New Roman" w:hAnsi="Times New Roman" w:eastAsia="Times New Roman" w:cs="Times New Roman"/>
          <w:b/>
          <w:bCs/>
          <w:i/>
          <w:iCs/>
          <w:color w:val="000000"/>
          <w:sz w:val="28"/>
          <w:szCs w:val="28"/>
        </w:rPr>
        <w:t>A Comprehensive Study of GDP, Energy Use,</w:t>
      </w:r>
    </w:p>
    <w:p w14:paraId="3BB73579">
      <w:pPr>
        <w:spacing w:before="100" w:after="200"/>
        <w:jc w:val="center"/>
      </w:pPr>
      <w:r>
        <w:rPr>
          <w:rFonts w:ascii="Times New Roman" w:hAnsi="Times New Roman" w:eastAsia="Times New Roman" w:cs="Times New Roman"/>
          <w:b/>
          <w:bCs/>
          <w:i/>
          <w:iCs/>
          <w:color w:val="000000"/>
          <w:sz w:val="28"/>
          <w:szCs w:val="28"/>
        </w:rPr>
        <w:t>CO₂ Emissions, Population Dynamics, and Freshwater</w:t>
      </w:r>
    </w:p>
    <w:p w14:paraId="69F990CF">
      <w:pPr>
        <w:spacing w:before="100" w:after="300"/>
        <w:jc w:val="center"/>
      </w:pPr>
      <w:r>
        <w:rPr>
          <w:rFonts w:ascii="Times New Roman" w:hAnsi="Times New Roman" w:eastAsia="Times New Roman" w:cs="Times New Roman"/>
          <w:b/>
          <w:bCs/>
          <w:i/>
          <w:iCs/>
          <w:color w:val="000000"/>
          <w:sz w:val="28"/>
          <w:szCs w:val="28"/>
        </w:rPr>
        <w:t>Consumption Using Microsoft Power BI</w:t>
      </w:r>
    </w:p>
    <w:p w14:paraId="4CE59D72">
      <w:pPr>
        <w:pBdr>
          <w:bottom w:val="single" w:color="2E75B6" w:sz="4" w:space="1"/>
        </w:pBdr>
        <w:spacing w:before="100" w:after="100"/>
      </w:pPr>
    </w:p>
    <w:p w14:paraId="0F4DFB88"/>
    <w:p w14:paraId="38F42E48">
      <w:pPr>
        <w:spacing w:before="100" w:after="80"/>
        <w:jc w:val="center"/>
      </w:pPr>
      <w:r>
        <w:rPr>
          <w:rFonts w:ascii="Times New Roman" w:hAnsi="Times New Roman" w:eastAsia="Times New Roman" w:cs="Times New Roman"/>
          <w:b w:val="0"/>
          <w:bCs w:val="0"/>
          <w:i w:val="0"/>
          <w:iCs w:val="0"/>
          <w:color w:val="000000"/>
          <w:sz w:val="24"/>
          <w:szCs w:val="24"/>
        </w:rPr>
        <w:t>Submitted by</w:t>
      </w:r>
    </w:p>
    <w:p w14:paraId="6D979B40">
      <w:pPr>
        <w:spacing w:before="100" w:after="60"/>
        <w:jc w:val="center"/>
        <w:rPr>
          <w:rFonts w:hint="default"/>
          <w:lang w:val="en-US"/>
        </w:rPr>
      </w:pPr>
      <w:r>
        <w:rPr>
          <w:rFonts w:hint="default" w:cs="Times New Roman"/>
          <w:b/>
          <w:bCs/>
          <w:i w:val="0"/>
          <w:iCs w:val="0"/>
          <w:color w:val="000000"/>
          <w:sz w:val="28"/>
          <w:szCs w:val="28"/>
          <w:lang w:val="en-US"/>
        </w:rPr>
        <w:t>MRIDUL Vatsal</w:t>
      </w:r>
      <w:r>
        <w:rPr>
          <w:rFonts w:hint="default" w:cs="Times New Roman"/>
          <w:b/>
          <w:bCs/>
          <w:i w:val="0"/>
          <w:iCs w:val="0"/>
          <w:color w:val="000000"/>
          <w:sz w:val="28"/>
          <w:szCs w:val="28"/>
          <w:lang w:val="en-US"/>
        </w:rPr>
        <w:br w:type="textWrapping"/>
      </w:r>
      <w:r>
        <w:rPr>
          <w:rFonts w:ascii="Times New Roman" w:hAnsi="Times New Roman" w:eastAsia="Times New Roman" w:cs="Times New Roman"/>
          <w:b w:val="0"/>
          <w:bCs w:val="0"/>
          <w:i w:val="0"/>
          <w:iCs w:val="0"/>
          <w:color w:val="000000"/>
          <w:sz w:val="24"/>
          <w:szCs w:val="24"/>
        </w:rPr>
        <w:t>Registration No. 12</w:t>
      </w:r>
      <w:r>
        <w:rPr>
          <w:rFonts w:hint="default" w:cs="Times New Roman"/>
          <w:b w:val="0"/>
          <w:bCs w:val="0"/>
          <w:i w:val="0"/>
          <w:iCs w:val="0"/>
          <w:color w:val="000000"/>
          <w:sz w:val="24"/>
          <w:szCs w:val="24"/>
          <w:lang w:val="en-US"/>
        </w:rPr>
        <w:t>405889</w:t>
      </w:r>
    </w:p>
    <w:p w14:paraId="51D47D4B">
      <w:pPr>
        <w:spacing w:before="100" w:after="60"/>
        <w:jc w:val="center"/>
        <w:rPr>
          <w:rFonts w:hint="default"/>
          <w:lang w:val="en-US"/>
        </w:rPr>
      </w:pPr>
      <w:r>
        <w:rPr>
          <w:rFonts w:ascii="Times New Roman" w:hAnsi="Times New Roman" w:eastAsia="Times New Roman" w:cs="Times New Roman"/>
          <w:b w:val="0"/>
          <w:bCs w:val="0"/>
          <w:i w:val="0"/>
          <w:iCs w:val="0"/>
          <w:color w:val="000000"/>
          <w:sz w:val="24"/>
          <w:szCs w:val="24"/>
        </w:rPr>
        <w:t>Programme: B.Tech (CSE) – Section K</w:t>
      </w:r>
      <w:r>
        <w:rPr>
          <w:rFonts w:hint="default" w:cs="Times New Roman"/>
          <w:b w:val="0"/>
          <w:bCs w:val="0"/>
          <w:i w:val="0"/>
          <w:iCs w:val="0"/>
          <w:color w:val="000000"/>
          <w:sz w:val="24"/>
          <w:szCs w:val="24"/>
          <w:lang w:val="en-US"/>
        </w:rPr>
        <w:t>24BZ</w:t>
      </w:r>
    </w:p>
    <w:p w14:paraId="6AB2453D">
      <w:pPr>
        <w:spacing w:before="100" w:after="160"/>
        <w:jc w:val="center"/>
        <w:rPr>
          <w:rFonts w:hint="default"/>
          <w:lang w:val="en-US"/>
        </w:rPr>
      </w:pPr>
      <w:r>
        <w:rPr>
          <w:rFonts w:ascii="Times New Roman" w:hAnsi="Times New Roman" w:eastAsia="Times New Roman" w:cs="Times New Roman"/>
          <w:b w:val="0"/>
          <w:bCs w:val="0"/>
          <w:i w:val="0"/>
          <w:iCs w:val="0"/>
          <w:color w:val="000000"/>
          <w:sz w:val="24"/>
          <w:szCs w:val="24"/>
        </w:rPr>
        <w:t>Course Code: INT</w:t>
      </w:r>
      <w:r>
        <w:rPr>
          <w:rFonts w:hint="default" w:cs="Times New Roman"/>
          <w:b w:val="0"/>
          <w:bCs w:val="0"/>
          <w:i w:val="0"/>
          <w:iCs w:val="0"/>
          <w:color w:val="000000"/>
          <w:sz w:val="24"/>
          <w:szCs w:val="24"/>
          <w:lang w:val="en-US"/>
        </w:rPr>
        <w:t>387</w:t>
      </w:r>
    </w:p>
    <w:p w14:paraId="03EDFB90">
      <w:pPr>
        <w:pBdr>
          <w:bottom w:val="single" w:color="2E75B6" w:sz="4" w:space="1"/>
        </w:pBdr>
        <w:spacing w:before="100" w:after="100"/>
      </w:pPr>
    </w:p>
    <w:p w14:paraId="3155625D"/>
    <w:p w14:paraId="0EB378D2">
      <w:pPr>
        <w:spacing w:before="100" w:after="80"/>
        <w:jc w:val="center"/>
      </w:pPr>
      <w:r>
        <w:rPr>
          <w:rFonts w:ascii="Times New Roman" w:hAnsi="Times New Roman" w:eastAsia="Times New Roman" w:cs="Times New Roman"/>
          <w:b w:val="0"/>
          <w:bCs w:val="0"/>
          <w:i w:val="0"/>
          <w:iCs w:val="0"/>
          <w:color w:val="000000"/>
          <w:sz w:val="24"/>
          <w:szCs w:val="24"/>
        </w:rPr>
        <w:t>Under the Guidance of</w:t>
      </w:r>
    </w:p>
    <w:p w14:paraId="3C150D7A">
      <w:pPr>
        <w:spacing w:before="100" w:after="60"/>
        <w:jc w:val="center"/>
        <w:rPr>
          <w:rFonts w:hint="default"/>
          <w:lang w:val="en-US"/>
        </w:rPr>
      </w:pPr>
      <w:r>
        <w:rPr>
          <w:rFonts w:ascii="Times New Roman" w:hAnsi="Times New Roman" w:eastAsia="Times New Roman" w:cs="Times New Roman"/>
          <w:b/>
          <w:bCs/>
          <w:i w:val="0"/>
          <w:iCs w:val="0"/>
          <w:color w:val="000000"/>
          <w:sz w:val="26"/>
          <w:szCs w:val="26"/>
        </w:rPr>
        <w:t xml:space="preserve">Dr. </w:t>
      </w:r>
      <w:r>
        <w:rPr>
          <w:rFonts w:hint="default" w:cs="Times New Roman"/>
          <w:b/>
          <w:bCs/>
          <w:i w:val="0"/>
          <w:iCs w:val="0"/>
          <w:color w:val="000000"/>
          <w:sz w:val="26"/>
          <w:szCs w:val="26"/>
          <w:lang w:val="en-US"/>
        </w:rPr>
        <w:t>Aashima Bansal</w:t>
      </w:r>
    </w:p>
    <w:p w14:paraId="08C5E8CA">
      <w:pPr>
        <w:spacing w:before="100" w:after="60"/>
        <w:jc w:val="center"/>
      </w:pPr>
      <w:r>
        <w:rPr>
          <w:rFonts w:ascii="Times New Roman" w:hAnsi="Times New Roman" w:eastAsia="Times New Roman" w:cs="Times New Roman"/>
          <w:b w:val="0"/>
          <w:bCs w:val="0"/>
          <w:i w:val="0"/>
          <w:iCs w:val="0"/>
          <w:color w:val="000000"/>
          <w:sz w:val="24"/>
          <w:szCs w:val="24"/>
        </w:rPr>
        <w:t>(Assistant Professor)</w:t>
      </w:r>
    </w:p>
    <w:p w14:paraId="03DA9245">
      <w:pPr>
        <w:spacing w:before="100" w:after="160"/>
        <w:jc w:val="center"/>
      </w:pPr>
      <w:r>
        <w:rPr>
          <w:rFonts w:hint="default" w:cs="Times New Roman"/>
          <w:b/>
          <w:bCs/>
          <w:i w:val="0"/>
          <w:iCs w:val="0"/>
          <w:color w:val="000000"/>
          <w:sz w:val="24"/>
          <w:szCs w:val="24"/>
          <w:lang w:val="en-US"/>
        </w:rPr>
        <w:t xml:space="preserve">Department </w:t>
      </w:r>
      <w:r>
        <w:rPr>
          <w:rFonts w:ascii="Times New Roman" w:hAnsi="Times New Roman" w:eastAsia="Times New Roman" w:cs="Times New Roman"/>
          <w:b/>
          <w:bCs/>
          <w:i w:val="0"/>
          <w:iCs w:val="0"/>
          <w:color w:val="000000"/>
          <w:sz w:val="24"/>
          <w:szCs w:val="24"/>
        </w:rPr>
        <w:t>of Computer Science &amp; Engineering</w:t>
      </w:r>
    </w:p>
    <w:p w14:paraId="1973A96D">
      <w:pPr>
        <w:pBdr>
          <w:bottom w:val="single" w:color="2E75B6" w:sz="4" w:space="1"/>
        </w:pBdr>
        <w:spacing w:before="100" w:after="100"/>
      </w:pPr>
    </w:p>
    <w:p w14:paraId="035CEF3B"/>
    <w:p w14:paraId="5260BE4A">
      <w:pPr>
        <w:spacing w:before="100" w:after="60"/>
        <w:jc w:val="center"/>
      </w:pPr>
      <w:r>
        <w:rPr>
          <w:rFonts w:ascii="Times New Roman" w:hAnsi="Times New Roman" w:eastAsia="Times New Roman" w:cs="Times New Roman"/>
          <w:b/>
          <w:bCs/>
          <w:i w:val="0"/>
          <w:iCs w:val="0"/>
          <w:color w:val="000000"/>
          <w:sz w:val="26"/>
          <w:szCs w:val="26"/>
        </w:rPr>
        <w:t>Lovely School of Technology &amp; Sciences</w:t>
      </w:r>
    </w:p>
    <w:p w14:paraId="26E113BC">
      <w:pPr>
        <w:spacing w:before="100" w:after="60"/>
        <w:jc w:val="center"/>
      </w:pPr>
      <w:r>
        <w:rPr>
          <w:rFonts w:ascii="Times New Roman" w:hAnsi="Times New Roman" w:eastAsia="Times New Roman" w:cs="Times New Roman"/>
          <w:b/>
          <w:bCs/>
          <w:i w:val="0"/>
          <w:iCs w:val="0"/>
          <w:color w:val="000000"/>
          <w:sz w:val="24"/>
          <w:szCs w:val="24"/>
        </w:rPr>
        <w:t>Lovely Professional University, Phagwara</w:t>
      </w:r>
    </w:p>
    <w:p w14:paraId="132F13E7">
      <w:pPr>
        <w:spacing w:before="100" w:after="60"/>
        <w:jc w:val="center"/>
      </w:pPr>
      <w:r>
        <w:rPr>
          <w:rFonts w:ascii="Times New Roman" w:hAnsi="Times New Roman" w:eastAsia="Times New Roman" w:cs="Times New Roman"/>
          <w:b w:val="0"/>
          <w:bCs w:val="0"/>
          <w:i w:val="0"/>
          <w:iCs w:val="0"/>
          <w:color w:val="000000"/>
          <w:sz w:val="24"/>
          <w:szCs w:val="24"/>
        </w:rPr>
        <w:t>Punjab – 144411</w:t>
      </w:r>
    </w:p>
    <w:p w14:paraId="68623830">
      <w:pPr>
        <w:spacing w:before="100" w:after="100"/>
        <w:jc w:val="center"/>
      </w:pPr>
      <w:r>
        <w:rPr>
          <w:rFonts w:ascii="Times New Roman" w:hAnsi="Times New Roman" w:eastAsia="Times New Roman" w:cs="Times New Roman"/>
          <w:b/>
          <w:bCs/>
          <w:i w:val="0"/>
          <w:iCs w:val="0"/>
          <w:color w:val="000000"/>
          <w:sz w:val="24"/>
          <w:szCs w:val="24"/>
        </w:rPr>
        <w:t>April</w:t>
      </w:r>
      <w:r>
        <w:rPr>
          <w:rFonts w:hint="default" w:cs="Times New Roman"/>
          <w:b/>
          <w:bCs/>
          <w:i w:val="0"/>
          <w:iCs w:val="0"/>
          <w:color w:val="000000"/>
          <w:sz w:val="24"/>
          <w:szCs w:val="24"/>
          <w:lang w:val="en-US"/>
        </w:rPr>
        <w:t xml:space="preserve"> 18</w:t>
      </w:r>
      <w:r>
        <w:rPr>
          <w:rFonts w:hint="default" w:cs="Times New Roman"/>
          <w:b/>
          <w:bCs/>
          <w:i w:val="0"/>
          <w:iCs w:val="0"/>
          <w:color w:val="000000"/>
          <w:sz w:val="24"/>
          <w:szCs w:val="24"/>
          <w:vertAlign w:val="superscript"/>
          <w:lang w:val="en-US"/>
        </w:rPr>
        <w:t>th</w:t>
      </w:r>
      <w:r>
        <w:rPr>
          <w:rFonts w:ascii="Times New Roman" w:hAnsi="Times New Roman" w:eastAsia="Times New Roman" w:cs="Times New Roman"/>
          <w:b/>
          <w:bCs/>
          <w:i w:val="0"/>
          <w:iCs w:val="0"/>
          <w:color w:val="000000"/>
          <w:sz w:val="24"/>
          <w:szCs w:val="24"/>
        </w:rPr>
        <w:t xml:space="preserve"> 2025</w:t>
      </w:r>
    </w:p>
    <w:p w14:paraId="167B2B61">
      <w:r>
        <w:br w:type="page"/>
      </w:r>
    </w:p>
    <w:p w14:paraId="20E74EE7">
      <w:pPr>
        <w:pStyle w:val="2"/>
        <w:spacing w:before="320" w:after="200"/>
      </w:pPr>
      <w:r>
        <w:rPr>
          <w:rFonts w:ascii="Times New Roman" w:hAnsi="Times New Roman" w:eastAsia="Times New Roman" w:cs="Times New Roman"/>
          <w:b/>
          <w:bCs/>
          <w:sz w:val="32"/>
          <w:szCs w:val="32"/>
        </w:rPr>
        <w:t>CERTIFICATE</w:t>
      </w:r>
    </w:p>
    <w:p w14:paraId="0DB0DF98">
      <w:pPr>
        <w:pBdr>
          <w:bottom w:val="single" w:color="2E75B6" w:sz="4" w:space="1"/>
        </w:pBdr>
        <w:spacing w:before="100" w:after="100"/>
      </w:pPr>
    </w:p>
    <w:p w14:paraId="6BB9244D"/>
    <w:p w14:paraId="2BDAA0E8">
      <w:pPr>
        <w:spacing w:before="0" w:after="160" w:line="360" w:lineRule="auto"/>
        <w:jc w:val="both"/>
      </w:pPr>
      <w:r>
        <w:rPr>
          <w:rFonts w:ascii="Times New Roman" w:hAnsi="Times New Roman" w:eastAsia="Times New Roman" w:cs="Times New Roman"/>
          <w:b w:val="0"/>
          <w:bCs w:val="0"/>
          <w:i w:val="0"/>
          <w:iCs w:val="0"/>
          <w:sz w:val="24"/>
          <w:szCs w:val="24"/>
        </w:rPr>
        <w:t xml:space="preserve">This is to certify that </w:t>
      </w:r>
      <w:r>
        <w:rPr>
          <w:rFonts w:hint="default" w:cs="Times New Roman"/>
          <w:b w:val="0"/>
          <w:bCs w:val="0"/>
          <w:i w:val="0"/>
          <w:iCs w:val="0"/>
          <w:sz w:val="24"/>
          <w:szCs w:val="24"/>
          <w:lang w:val="en-US"/>
        </w:rPr>
        <w:t>Mridul Vatsal</w:t>
      </w:r>
      <w:r>
        <w:rPr>
          <w:rFonts w:ascii="Times New Roman" w:hAnsi="Times New Roman" w:eastAsia="Times New Roman" w:cs="Times New Roman"/>
          <w:b w:val="0"/>
          <w:bCs w:val="0"/>
          <w:i w:val="0"/>
          <w:iCs w:val="0"/>
          <w:sz w:val="24"/>
          <w:szCs w:val="24"/>
        </w:rPr>
        <w:t xml:space="preserve">, bearing Registration No. </w:t>
      </w:r>
      <w:r>
        <w:rPr>
          <w:rFonts w:hint="default" w:cs="Times New Roman"/>
          <w:b w:val="0"/>
          <w:bCs w:val="0"/>
          <w:i w:val="0"/>
          <w:iCs w:val="0"/>
          <w:sz w:val="24"/>
          <w:szCs w:val="24"/>
          <w:lang w:val="en-US"/>
        </w:rPr>
        <w:t>12405889</w:t>
      </w:r>
      <w:r>
        <w:rPr>
          <w:rFonts w:ascii="Times New Roman" w:hAnsi="Times New Roman" w:eastAsia="Times New Roman" w:cs="Times New Roman"/>
          <w:b w:val="0"/>
          <w:bCs w:val="0"/>
          <w:i w:val="0"/>
          <w:iCs w:val="0"/>
          <w:sz w:val="24"/>
          <w:szCs w:val="24"/>
        </w:rPr>
        <w:t>, a student of B.Tech (Computer Science and Engineering), Section K</w:t>
      </w:r>
      <w:r>
        <w:rPr>
          <w:rFonts w:hint="default" w:cs="Times New Roman"/>
          <w:b w:val="0"/>
          <w:bCs w:val="0"/>
          <w:i w:val="0"/>
          <w:iCs w:val="0"/>
          <w:sz w:val="24"/>
          <w:szCs w:val="24"/>
          <w:lang w:val="en-US"/>
        </w:rPr>
        <w:t>24BZ</w:t>
      </w:r>
      <w:r>
        <w:rPr>
          <w:rFonts w:ascii="Times New Roman" w:hAnsi="Times New Roman" w:eastAsia="Times New Roman" w:cs="Times New Roman"/>
          <w:b w:val="0"/>
          <w:bCs w:val="0"/>
          <w:i w:val="0"/>
          <w:iCs w:val="0"/>
          <w:sz w:val="24"/>
          <w:szCs w:val="24"/>
        </w:rPr>
        <w:t>, has successfully completed the Data Science Minor Project titled "Global Economic Indicators Analysis: A Comprehensive Study of GDP, Energy Use, CO₂ Emissions, Population Dynamics, and Freshwater Consumption Using Microsoft Power BI", under my guidance and supervision during the Project Semester January–April 2025, as a partial fulfilment of the requirements for the award of Course Code INT</w:t>
      </w:r>
      <w:r>
        <w:rPr>
          <w:rFonts w:hint="default" w:cs="Times New Roman"/>
          <w:b w:val="0"/>
          <w:bCs w:val="0"/>
          <w:i w:val="0"/>
          <w:iCs w:val="0"/>
          <w:sz w:val="24"/>
          <w:szCs w:val="24"/>
          <w:lang w:val="en-US"/>
        </w:rPr>
        <w:t>387</w:t>
      </w:r>
      <w:r>
        <w:rPr>
          <w:rFonts w:ascii="Times New Roman" w:hAnsi="Times New Roman" w:eastAsia="Times New Roman" w:cs="Times New Roman"/>
          <w:b w:val="0"/>
          <w:bCs w:val="0"/>
          <w:i w:val="0"/>
          <w:iCs w:val="0"/>
          <w:sz w:val="24"/>
          <w:szCs w:val="24"/>
        </w:rPr>
        <w:t xml:space="preserve"> at Lovely Professional University.</w:t>
      </w:r>
    </w:p>
    <w:p w14:paraId="38A371AD"/>
    <w:p w14:paraId="71AB74B9">
      <w:pPr>
        <w:spacing w:before="0" w:after="160" w:line="360" w:lineRule="auto"/>
        <w:jc w:val="both"/>
      </w:pPr>
      <w:r>
        <w:rPr>
          <w:rFonts w:ascii="Times New Roman" w:hAnsi="Times New Roman" w:eastAsia="Times New Roman" w:cs="Times New Roman"/>
          <w:b w:val="0"/>
          <w:bCs w:val="0"/>
          <w:i w:val="0"/>
          <w:iCs w:val="0"/>
          <w:sz w:val="24"/>
          <w:szCs w:val="24"/>
        </w:rPr>
        <w:t>To the best of my knowledge and belief, the present work is the result of the student’s own original efforts, independent analytical thinking, and data exploration. This project has not been submitted elsewhere for the award of any degree or diploma. The report conforms to the prescribed academic standards of the university and reflects the student’s competence in Data Science methodologies, Power BI dashboard development, and data-driven analytical reasoning.</w:t>
      </w:r>
    </w:p>
    <w:p w14:paraId="75E3AB18"/>
    <w:p w14:paraId="67B6A0D2"/>
    <w:p w14:paraId="46B18CD4">
      <w:pPr>
        <w:spacing w:before="0" w:after="160" w:line="360" w:lineRule="auto"/>
        <w:jc w:val="both"/>
      </w:pPr>
      <w:r>
        <w:rPr>
          <w:rFonts w:ascii="Times New Roman" w:hAnsi="Times New Roman" w:eastAsia="Times New Roman" w:cs="Times New Roman"/>
          <w:b/>
          <w:bCs/>
          <w:i w:val="0"/>
          <w:iCs w:val="0"/>
          <w:sz w:val="24"/>
          <w:szCs w:val="24"/>
        </w:rPr>
        <w:t>Signature and Name of the Supervisor</w:t>
      </w:r>
    </w:p>
    <w:p w14:paraId="5D3B5ED7"/>
    <w:p w14:paraId="6E9E999D">
      <w:pPr>
        <w:spacing w:before="0" w:after="160" w:line="360" w:lineRule="auto"/>
        <w:jc w:val="both"/>
        <w:rPr>
          <w:rFonts w:hint="default"/>
          <w:lang w:val="en-US"/>
        </w:rPr>
      </w:pPr>
      <w:r>
        <w:rPr>
          <w:rFonts w:ascii="Times New Roman" w:hAnsi="Times New Roman" w:eastAsia="Times New Roman" w:cs="Times New Roman"/>
          <w:b/>
          <w:bCs/>
          <w:i w:val="0"/>
          <w:iCs w:val="0"/>
          <w:sz w:val="24"/>
          <w:szCs w:val="24"/>
        </w:rPr>
        <w:t xml:space="preserve">Dr. </w:t>
      </w:r>
      <w:r>
        <w:rPr>
          <w:rFonts w:hint="default" w:cs="Times New Roman"/>
          <w:b/>
          <w:bCs/>
          <w:i w:val="0"/>
          <w:iCs w:val="0"/>
          <w:sz w:val="24"/>
          <w:szCs w:val="24"/>
          <w:lang w:val="en-US"/>
        </w:rPr>
        <w:t>Aashima Bansal</w:t>
      </w:r>
    </w:p>
    <w:p w14:paraId="5863FA2A">
      <w:pPr>
        <w:spacing w:before="0" w:after="160" w:line="360" w:lineRule="auto"/>
        <w:jc w:val="both"/>
      </w:pPr>
      <w:r>
        <w:rPr>
          <w:rFonts w:ascii="Times New Roman" w:hAnsi="Times New Roman" w:eastAsia="Times New Roman" w:cs="Times New Roman"/>
          <w:b w:val="0"/>
          <w:bCs w:val="0"/>
          <w:i w:val="0"/>
          <w:iCs w:val="0"/>
          <w:sz w:val="24"/>
          <w:szCs w:val="24"/>
        </w:rPr>
        <w:t>Assistant Professor</w:t>
      </w:r>
    </w:p>
    <w:p w14:paraId="19F7A3D6">
      <w:pPr>
        <w:spacing w:before="0" w:after="160" w:line="360" w:lineRule="auto"/>
        <w:jc w:val="both"/>
      </w:pPr>
      <w:r>
        <w:rPr>
          <w:rFonts w:hint="default" w:cs="Times New Roman"/>
          <w:b w:val="0"/>
          <w:bCs w:val="0"/>
          <w:i w:val="0"/>
          <w:iCs w:val="0"/>
          <w:sz w:val="24"/>
          <w:szCs w:val="24"/>
          <w:lang w:val="en-US"/>
        </w:rPr>
        <w:t xml:space="preserve">Department </w:t>
      </w:r>
      <w:r>
        <w:rPr>
          <w:rFonts w:ascii="Times New Roman" w:hAnsi="Times New Roman" w:eastAsia="Times New Roman" w:cs="Times New Roman"/>
          <w:b w:val="0"/>
          <w:bCs w:val="0"/>
          <w:i w:val="0"/>
          <w:iCs w:val="0"/>
          <w:sz w:val="24"/>
          <w:szCs w:val="24"/>
        </w:rPr>
        <w:t>of Computer Science &amp; Engineering</w:t>
      </w:r>
    </w:p>
    <w:p w14:paraId="4CF16359">
      <w:pPr>
        <w:spacing w:before="0" w:after="160" w:line="360" w:lineRule="auto"/>
        <w:jc w:val="both"/>
      </w:pPr>
      <w:r>
        <w:rPr>
          <w:rFonts w:ascii="Times New Roman" w:hAnsi="Times New Roman" w:eastAsia="Times New Roman" w:cs="Times New Roman"/>
          <w:b w:val="0"/>
          <w:bCs w:val="0"/>
          <w:i w:val="0"/>
          <w:iCs w:val="0"/>
          <w:sz w:val="24"/>
          <w:szCs w:val="24"/>
        </w:rPr>
        <w:t>Lovely Professional University, Phagwara, Punjab</w:t>
      </w:r>
    </w:p>
    <w:p w14:paraId="50C27115"/>
    <w:p w14:paraId="330DA20B">
      <w:pPr>
        <w:spacing w:before="0" w:after="160" w:line="360" w:lineRule="auto"/>
        <w:jc w:val="both"/>
      </w:pPr>
      <w:r>
        <w:rPr>
          <w:rFonts w:ascii="Times New Roman" w:hAnsi="Times New Roman" w:eastAsia="Times New Roman" w:cs="Times New Roman"/>
          <w:b w:val="0"/>
          <w:bCs w:val="0"/>
          <w:i w:val="0"/>
          <w:iCs w:val="0"/>
          <w:sz w:val="24"/>
          <w:szCs w:val="24"/>
        </w:rPr>
        <w:t>Date: ___________________</w:t>
      </w:r>
    </w:p>
    <w:p w14:paraId="772C0ECF">
      <w:r>
        <w:br w:type="page"/>
      </w:r>
    </w:p>
    <w:p w14:paraId="0C7EF648">
      <w:pPr>
        <w:pStyle w:val="2"/>
        <w:spacing w:before="320" w:after="200"/>
      </w:pPr>
      <w:r>
        <w:rPr>
          <w:rFonts w:ascii="Times New Roman" w:hAnsi="Times New Roman" w:eastAsia="Times New Roman" w:cs="Times New Roman"/>
          <w:b/>
          <w:bCs/>
          <w:sz w:val="32"/>
          <w:szCs w:val="32"/>
        </w:rPr>
        <w:t>DECLARATION</w:t>
      </w:r>
    </w:p>
    <w:p w14:paraId="749C0DE3">
      <w:pPr>
        <w:pBdr>
          <w:bottom w:val="single" w:color="2E75B6" w:sz="4" w:space="1"/>
        </w:pBdr>
        <w:spacing w:before="100" w:after="100"/>
      </w:pPr>
    </w:p>
    <w:p w14:paraId="14E909F3"/>
    <w:p w14:paraId="57D3FB5D">
      <w:pPr>
        <w:spacing w:before="0" w:after="160" w:line="360" w:lineRule="auto"/>
        <w:jc w:val="both"/>
      </w:pPr>
      <w:r>
        <w:rPr>
          <w:rFonts w:ascii="Times New Roman" w:hAnsi="Times New Roman" w:eastAsia="Times New Roman" w:cs="Times New Roman"/>
          <w:b w:val="0"/>
          <w:bCs w:val="0"/>
          <w:i w:val="0"/>
          <w:iCs w:val="0"/>
          <w:sz w:val="24"/>
          <w:szCs w:val="24"/>
        </w:rPr>
        <w:t xml:space="preserve">I, </w:t>
      </w:r>
      <w:r>
        <w:rPr>
          <w:rFonts w:hint="default" w:cs="Times New Roman"/>
          <w:b w:val="0"/>
          <w:bCs w:val="0"/>
          <w:i w:val="0"/>
          <w:iCs w:val="0"/>
          <w:sz w:val="24"/>
          <w:szCs w:val="24"/>
          <w:lang w:val="en-US"/>
        </w:rPr>
        <w:t>Mridul Vatsal</w:t>
      </w:r>
      <w:r>
        <w:rPr>
          <w:rFonts w:ascii="Times New Roman" w:hAnsi="Times New Roman" w:eastAsia="Times New Roman" w:cs="Times New Roman"/>
          <w:b w:val="0"/>
          <w:bCs w:val="0"/>
          <w:i w:val="0"/>
          <w:iCs w:val="0"/>
          <w:sz w:val="24"/>
          <w:szCs w:val="24"/>
        </w:rPr>
        <w:t>, a student of B.Tech (Computer Science and Engineering), Section K2</w:t>
      </w:r>
      <w:r>
        <w:rPr>
          <w:rFonts w:hint="default" w:cs="Times New Roman"/>
          <w:b w:val="0"/>
          <w:bCs w:val="0"/>
          <w:i w:val="0"/>
          <w:iCs w:val="0"/>
          <w:sz w:val="24"/>
          <w:szCs w:val="24"/>
          <w:lang w:val="en-US"/>
        </w:rPr>
        <w:t>4BZ</w:t>
      </w:r>
      <w:r>
        <w:rPr>
          <w:rFonts w:ascii="Times New Roman" w:hAnsi="Times New Roman" w:eastAsia="Times New Roman" w:cs="Times New Roman"/>
          <w:b w:val="0"/>
          <w:bCs w:val="0"/>
          <w:i w:val="0"/>
          <w:iCs w:val="0"/>
          <w:sz w:val="24"/>
          <w:szCs w:val="24"/>
        </w:rPr>
        <w:t>, under the Discipline of CSE at Lovely Professional University, Punjab, hereby solemnly declare that all the information, data analysis, interpretations, and visualizations presented in this project report, titled "Global Economic Indicators Analysis: A Comprehensive Study of GDP, Energy Use, CO₂ Emissions, Population Dynamics, and Freshwater Consumption Using Microsoft Power BI", are based on my own sincere, intensive, and independent research work.</w:t>
      </w:r>
    </w:p>
    <w:p w14:paraId="66DEEAA3">
      <w:pPr>
        <w:spacing w:before="0" w:after="160" w:line="360" w:lineRule="auto"/>
        <w:jc w:val="both"/>
      </w:pPr>
      <w:r>
        <w:rPr>
          <w:rFonts w:ascii="Times New Roman" w:hAnsi="Times New Roman" w:eastAsia="Times New Roman" w:cs="Times New Roman"/>
          <w:b w:val="0"/>
          <w:bCs w:val="0"/>
          <w:i w:val="0"/>
          <w:iCs w:val="0"/>
          <w:sz w:val="24"/>
          <w:szCs w:val="24"/>
        </w:rPr>
        <w:t>I further declare that the work presented in this report has not been submitted, in whole or in part, for the award of any other degree or examination at this or any other institution. All external sources of information, datasets, and references have been duly acknowledged and cited in the References section of this report in accordance with the IEEE citation format.</w:t>
      </w:r>
    </w:p>
    <w:p w14:paraId="1905863D">
      <w:pPr>
        <w:spacing w:before="0" w:after="160" w:line="360" w:lineRule="auto"/>
        <w:jc w:val="both"/>
      </w:pPr>
      <w:r>
        <w:rPr>
          <w:rFonts w:ascii="Times New Roman" w:hAnsi="Times New Roman" w:eastAsia="Times New Roman" w:cs="Times New Roman"/>
          <w:b w:val="0"/>
          <w:bCs w:val="0"/>
          <w:i w:val="0"/>
          <w:iCs w:val="0"/>
          <w:sz w:val="24"/>
          <w:szCs w:val="24"/>
        </w:rPr>
        <w:t>I take complete responsibility for the accuracy and authenticity of the information and results presented herein. Any inadvertent error or omission is regretted.</w:t>
      </w:r>
    </w:p>
    <w:p w14:paraId="56010611"/>
    <w:p w14:paraId="1C9A245D"/>
    <w:p w14:paraId="720312FF"/>
    <w:p w14:paraId="0C68413F">
      <w:pPr>
        <w:spacing w:after="120"/>
      </w:pPr>
      <w:r>
        <w:rPr>
          <w:rFonts w:ascii="Times New Roman" w:hAnsi="Times New Roman" w:eastAsia="Times New Roman" w:cs="Times New Roman"/>
          <w:sz w:val="24"/>
          <w:szCs w:val="24"/>
        </w:rPr>
        <w:t>Date: ___________________                    Signature: ___________________</w:t>
      </w:r>
    </w:p>
    <w:p w14:paraId="5B7FF4B1"/>
    <w:p w14:paraId="66241AC3">
      <w:pPr>
        <w:spacing w:after="120"/>
        <w:rPr>
          <w:rFonts w:hint="default"/>
          <w:lang w:val="en-US"/>
        </w:rPr>
      </w:pPr>
      <w:r>
        <w:rPr>
          <w:rFonts w:ascii="Times New Roman" w:hAnsi="Times New Roman" w:eastAsia="Times New Roman" w:cs="Times New Roman"/>
          <w:sz w:val="24"/>
          <w:szCs w:val="24"/>
        </w:rPr>
        <w:t>Registration No.: 12</w:t>
      </w:r>
      <w:r>
        <w:rPr>
          <w:rFonts w:hint="default" w:cs="Times New Roman"/>
          <w:sz w:val="24"/>
          <w:szCs w:val="24"/>
          <w:lang w:val="en-US"/>
        </w:rPr>
        <w:t>405889</w:t>
      </w:r>
      <w:r>
        <w:rPr>
          <w:rFonts w:ascii="Times New Roman" w:hAnsi="Times New Roman" w:eastAsia="Times New Roman" w:cs="Times New Roman"/>
          <w:sz w:val="24"/>
          <w:szCs w:val="24"/>
        </w:rPr>
        <w:t xml:space="preserve">             Name: </w:t>
      </w:r>
      <w:r>
        <w:rPr>
          <w:rFonts w:hint="default" w:cs="Times New Roman"/>
          <w:sz w:val="24"/>
          <w:szCs w:val="24"/>
          <w:lang w:val="en-US"/>
        </w:rPr>
        <w:t>Mridul Vatsal</w:t>
      </w:r>
    </w:p>
    <w:p w14:paraId="5226111E">
      <w:r>
        <w:br w:type="page"/>
      </w:r>
    </w:p>
    <w:p w14:paraId="733FD331">
      <w:pPr>
        <w:pStyle w:val="2"/>
        <w:spacing w:before="320" w:after="200"/>
      </w:pPr>
      <w:r>
        <w:rPr>
          <w:rFonts w:ascii="Times New Roman" w:hAnsi="Times New Roman" w:eastAsia="Times New Roman" w:cs="Times New Roman"/>
          <w:b/>
          <w:bCs/>
          <w:sz w:val="32"/>
          <w:szCs w:val="32"/>
        </w:rPr>
        <w:t>ACKNOWLEDGEMENT</w:t>
      </w:r>
    </w:p>
    <w:p w14:paraId="1EB528F0">
      <w:pPr>
        <w:pBdr>
          <w:bottom w:val="single" w:color="2E75B6" w:sz="4" w:space="1"/>
        </w:pBdr>
        <w:spacing w:before="100" w:after="100"/>
      </w:pPr>
    </w:p>
    <w:p w14:paraId="4EBCF62C"/>
    <w:p w14:paraId="377AC040">
      <w:pPr>
        <w:spacing w:before="0" w:after="160" w:line="360" w:lineRule="auto"/>
        <w:jc w:val="both"/>
      </w:pPr>
      <w:r>
        <w:rPr>
          <w:rFonts w:ascii="Times New Roman" w:hAnsi="Times New Roman" w:eastAsia="Times New Roman" w:cs="Times New Roman"/>
          <w:b w:val="0"/>
          <w:bCs w:val="0"/>
          <w:i w:val="0"/>
          <w:iCs w:val="0"/>
          <w:sz w:val="24"/>
          <w:szCs w:val="24"/>
        </w:rPr>
        <w:t>First and foremost, I express my deepest sense of gratitude and sincere thanks to Almighty God for bestowing upon me the strength, wisdom, and perseverance to complete this project successfully. This report stands as a testament to the collaborative support and guidance I have received from numerous individuals throughout the course of this academic endeavour.</w:t>
      </w:r>
    </w:p>
    <w:p w14:paraId="13C09E81">
      <w:pPr>
        <w:spacing w:before="0" w:after="160" w:line="360" w:lineRule="auto"/>
        <w:jc w:val="both"/>
      </w:pPr>
      <w:r>
        <w:rPr>
          <w:rFonts w:ascii="Times New Roman" w:hAnsi="Times New Roman" w:eastAsia="Times New Roman" w:cs="Times New Roman"/>
          <w:b w:val="0"/>
          <w:bCs w:val="0"/>
          <w:i w:val="0"/>
          <w:iCs w:val="0"/>
          <w:sz w:val="24"/>
          <w:szCs w:val="24"/>
        </w:rPr>
        <w:t xml:space="preserve">I extend my heartfelt and sincere gratitude to my project guide, Dr. </w:t>
      </w:r>
      <w:r>
        <w:rPr>
          <w:rFonts w:hint="default" w:cs="Times New Roman"/>
          <w:b w:val="0"/>
          <w:bCs w:val="0"/>
          <w:i w:val="0"/>
          <w:iCs w:val="0"/>
          <w:sz w:val="24"/>
          <w:szCs w:val="24"/>
          <w:lang w:val="en-US"/>
        </w:rPr>
        <w:t>Aashima Bansal</w:t>
      </w:r>
      <w:r>
        <w:rPr>
          <w:rFonts w:ascii="Times New Roman" w:hAnsi="Times New Roman" w:eastAsia="Times New Roman" w:cs="Times New Roman"/>
          <w:b w:val="0"/>
          <w:bCs w:val="0"/>
          <w:i w:val="0"/>
          <w:iCs w:val="0"/>
          <w:sz w:val="24"/>
          <w:szCs w:val="24"/>
        </w:rPr>
        <w:t xml:space="preserve">, Assistant Professor, Discipline of Computer Science &amp; Engineering, Lovely School of Technology &amp; Sciences, Lovely Professional University, for her invaluable guidance, scholarly advice, and continuous encouragement throughout the entire project period. Her technical insights into Data Science methodologies and Power BI </w:t>
      </w:r>
      <w:r>
        <w:rPr>
          <w:rFonts w:cs="Times New Roman"/>
          <w:b w:val="0"/>
          <w:bCs w:val="0"/>
          <w:i w:val="0"/>
          <w:iCs w:val="0"/>
          <w:sz w:val="24"/>
          <w:szCs w:val="24"/>
          <w:lang w:val="en-US"/>
        </w:rPr>
        <w:t>Analytics</w:t>
      </w:r>
      <w:r>
        <w:rPr>
          <w:rFonts w:ascii="Times New Roman" w:hAnsi="Times New Roman" w:eastAsia="Times New Roman" w:cs="Times New Roman"/>
          <w:b w:val="0"/>
          <w:bCs w:val="0"/>
          <w:i w:val="0"/>
          <w:iCs w:val="0"/>
          <w:sz w:val="24"/>
          <w:szCs w:val="24"/>
        </w:rPr>
        <w:t xml:space="preserve"> were instrumental in shaping the direction and depth of this study.</w:t>
      </w:r>
    </w:p>
    <w:p w14:paraId="3C5F4A48">
      <w:pPr>
        <w:spacing w:before="0" w:after="160" w:line="360" w:lineRule="auto"/>
        <w:jc w:val="both"/>
      </w:pPr>
      <w:r>
        <w:rPr>
          <w:rFonts w:ascii="Times New Roman" w:hAnsi="Times New Roman" w:eastAsia="Times New Roman" w:cs="Times New Roman"/>
          <w:b w:val="0"/>
          <w:bCs w:val="0"/>
          <w:i w:val="0"/>
          <w:iCs w:val="0"/>
          <w:sz w:val="24"/>
          <w:szCs w:val="24"/>
        </w:rPr>
        <w:t>I am deeply grateful to the Head of Department and the academic faculty of the Discipline of CSE for providing us with the necessary infrastructure, computational resources, and a conducive academic environment that facilitated the pursuit of knowledge and research. The structured coursework provided under the Data Science minor programme equipped me with the foundational and advanced skills required to undertake this project.</w:t>
      </w:r>
    </w:p>
    <w:p w14:paraId="3DBBD815">
      <w:pPr>
        <w:spacing w:before="0" w:after="160" w:line="360" w:lineRule="auto"/>
        <w:jc w:val="both"/>
      </w:pPr>
      <w:r>
        <w:rPr>
          <w:rFonts w:ascii="Times New Roman" w:hAnsi="Times New Roman" w:eastAsia="Times New Roman" w:cs="Times New Roman"/>
          <w:b w:val="0"/>
          <w:bCs w:val="0"/>
          <w:i w:val="0"/>
          <w:iCs w:val="0"/>
          <w:sz w:val="24"/>
          <w:szCs w:val="24"/>
        </w:rPr>
        <w:t>I would also like to acknowledge the World Bank Open Data Repository and academic community for making the Global Economic Indicators dataset publicly available. The open-access nature of such data resources is invaluable to academic research and fosters a spirit of transparent, reproducible science.</w:t>
      </w:r>
    </w:p>
    <w:p w14:paraId="031AA4D0">
      <w:pPr>
        <w:spacing w:before="0" w:after="160" w:line="360" w:lineRule="auto"/>
        <w:jc w:val="both"/>
      </w:pPr>
      <w:r>
        <w:rPr>
          <w:rFonts w:ascii="Times New Roman" w:hAnsi="Times New Roman" w:eastAsia="Times New Roman" w:cs="Times New Roman"/>
          <w:b w:val="0"/>
          <w:bCs w:val="0"/>
          <w:i w:val="0"/>
          <w:iCs w:val="0"/>
          <w:sz w:val="24"/>
          <w:szCs w:val="24"/>
        </w:rPr>
        <w:t>My sincere thanks are also due to my classmates and peers for their constructive feedback during the review sessions, as well as for the stimulating academic discussions that helped me refine my analytical approach. Special thanks are owed to my family for their unwavering moral support, patience, and encouragement during the demanding phases of this project.</w:t>
      </w:r>
    </w:p>
    <w:p w14:paraId="792C14CE">
      <w:pPr>
        <w:spacing w:before="0" w:after="160" w:line="360" w:lineRule="auto"/>
        <w:jc w:val="both"/>
      </w:pPr>
      <w:r>
        <w:rPr>
          <w:rFonts w:ascii="Times New Roman" w:hAnsi="Times New Roman" w:eastAsia="Times New Roman" w:cs="Times New Roman"/>
          <w:b w:val="0"/>
          <w:bCs w:val="0"/>
          <w:i w:val="0"/>
          <w:iCs w:val="0"/>
          <w:sz w:val="24"/>
          <w:szCs w:val="24"/>
        </w:rPr>
        <w:t>Finally, I am thankful to Lovely Professional University for providing a forward-looking curriculum that bridges theoretical knowledge with practical industry applications, and for fostering a culture of research and innovation among its students.</w:t>
      </w:r>
    </w:p>
    <w:p w14:paraId="416FF494"/>
    <w:p w14:paraId="351CC972"/>
    <w:p w14:paraId="40A40221">
      <w:pPr>
        <w:spacing w:before="0" w:after="160" w:line="360" w:lineRule="auto"/>
        <w:jc w:val="both"/>
        <w:rPr>
          <w:rFonts w:hint="default" w:cs="Times New Roman"/>
          <w:b/>
          <w:bCs/>
          <w:i w:val="0"/>
          <w:iCs w:val="0"/>
          <w:sz w:val="24"/>
          <w:szCs w:val="24"/>
          <w:lang w:val="en-US"/>
        </w:rPr>
      </w:pPr>
      <w:r>
        <w:rPr>
          <w:rFonts w:hint="default" w:cs="Times New Roman"/>
          <w:b/>
          <w:bCs/>
          <w:i w:val="0"/>
          <w:iCs w:val="0"/>
          <w:sz w:val="24"/>
          <w:szCs w:val="24"/>
          <w:lang w:val="en-US"/>
        </w:rPr>
        <w:t>Mridul Vatsal</w:t>
      </w:r>
    </w:p>
    <w:p w14:paraId="59058277">
      <w:pPr>
        <w:spacing w:before="0" w:after="160" w:line="360" w:lineRule="auto"/>
        <w:jc w:val="both"/>
        <w:rPr>
          <w:rFonts w:hint="default"/>
          <w:lang w:val="en-US"/>
        </w:rPr>
      </w:pPr>
      <w:r>
        <w:rPr>
          <w:rFonts w:ascii="Times New Roman" w:hAnsi="Times New Roman" w:eastAsia="Times New Roman" w:cs="Times New Roman"/>
          <w:b w:val="0"/>
          <w:bCs w:val="0"/>
          <w:i w:val="0"/>
          <w:iCs w:val="0"/>
          <w:sz w:val="24"/>
          <w:szCs w:val="24"/>
        </w:rPr>
        <w:t xml:space="preserve">Registration No.: </w:t>
      </w:r>
      <w:r>
        <w:rPr>
          <w:rFonts w:hint="default" w:cs="Times New Roman"/>
          <w:b w:val="0"/>
          <w:bCs w:val="0"/>
          <w:i w:val="0"/>
          <w:iCs w:val="0"/>
          <w:sz w:val="24"/>
          <w:szCs w:val="24"/>
          <w:lang w:val="en-US"/>
        </w:rPr>
        <w:t>12405889</w:t>
      </w:r>
    </w:p>
    <w:p w14:paraId="2BDE22FE">
      <w:pPr>
        <w:spacing w:before="0" w:after="160" w:line="360" w:lineRule="auto"/>
        <w:jc w:val="both"/>
        <w:rPr>
          <w:rFonts w:hint="default"/>
          <w:lang w:val="en-US"/>
        </w:rPr>
      </w:pPr>
      <w:r>
        <w:rPr>
          <w:rFonts w:ascii="Times New Roman" w:hAnsi="Times New Roman" w:eastAsia="Times New Roman" w:cs="Times New Roman"/>
          <w:b w:val="0"/>
          <w:bCs w:val="0"/>
          <w:i w:val="0"/>
          <w:iCs w:val="0"/>
          <w:sz w:val="24"/>
          <w:szCs w:val="24"/>
        </w:rPr>
        <w:t xml:space="preserve">B.Tech (CSE), Section </w:t>
      </w:r>
      <w:r>
        <w:rPr>
          <w:rFonts w:hint="default" w:cs="Times New Roman"/>
          <w:b w:val="0"/>
          <w:bCs w:val="0"/>
          <w:i w:val="0"/>
          <w:iCs w:val="0"/>
          <w:sz w:val="24"/>
          <w:szCs w:val="24"/>
          <w:lang w:val="en-US"/>
        </w:rPr>
        <w:t>K24BZ</w:t>
      </w:r>
    </w:p>
    <w:p w14:paraId="5F9BFA96">
      <w:pPr>
        <w:spacing w:before="0" w:after="160" w:line="360" w:lineRule="auto"/>
        <w:jc w:val="both"/>
      </w:pPr>
      <w:r>
        <w:rPr>
          <w:rFonts w:ascii="Times New Roman" w:hAnsi="Times New Roman" w:eastAsia="Times New Roman" w:cs="Times New Roman"/>
          <w:b w:val="0"/>
          <w:bCs w:val="0"/>
          <w:i w:val="0"/>
          <w:iCs w:val="0"/>
          <w:sz w:val="24"/>
          <w:szCs w:val="24"/>
        </w:rPr>
        <w:t>Lovely Professional University, Phagwara</w:t>
      </w:r>
    </w:p>
    <w:p w14:paraId="755EE48A">
      <w:r>
        <w:br w:type="page"/>
      </w:r>
    </w:p>
    <w:p w14:paraId="7366C621">
      <w:pPr>
        <w:pStyle w:val="2"/>
        <w:spacing w:before="320" w:after="200"/>
      </w:pPr>
      <w:r>
        <w:rPr>
          <w:rFonts w:ascii="Times New Roman" w:hAnsi="Times New Roman" w:eastAsia="Times New Roman" w:cs="Times New Roman"/>
          <w:b/>
          <w:bCs/>
          <w:sz w:val="32"/>
          <w:szCs w:val="32"/>
        </w:rPr>
        <w:t>TABLE OF CONTENTS</w:t>
      </w:r>
    </w:p>
    <w:p w14:paraId="7BF6994B">
      <w:pPr>
        <w:pBdr>
          <w:bottom w:val="single" w:color="2E75B6" w:sz="4" w:space="1"/>
        </w:pBdr>
        <w:spacing w:before="100" w:after="100"/>
      </w:pPr>
    </w:p>
    <w:p w14:paraId="3AC8AAB6"/>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00"/>
        <w:gridCol w:w="1526"/>
      </w:tblGrid>
      <w:tr w14:paraId="6EAEE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6282EB4F">
            <w:r>
              <w:rPr>
                <w:rFonts w:ascii="Times New Roman" w:hAnsi="Times New Roman" w:eastAsia="Times New Roman" w:cs="Times New Roman"/>
                <w:b w:val="0"/>
                <w:bCs w:val="0"/>
                <w:sz w:val="23"/>
                <w:szCs w:val="23"/>
              </w:rPr>
              <w:t>Certificate</w:t>
            </w:r>
          </w:p>
        </w:tc>
        <w:tc>
          <w:tcPr>
            <w:tcW w:w="1526" w:type="dxa"/>
            <w:tcBorders>
              <w:top w:val="nil"/>
              <w:left w:val="nil"/>
              <w:bottom w:val="nil"/>
              <w:right w:val="nil"/>
            </w:tcBorders>
            <w:tcMar>
              <w:top w:w="60" w:type="dxa"/>
              <w:left w:w="0" w:type="dxa"/>
              <w:bottom w:w="60" w:type="dxa"/>
              <w:right w:w="0" w:type="dxa"/>
            </w:tcMar>
          </w:tcPr>
          <w:p w14:paraId="7C459662">
            <w:pPr>
              <w:jc w:val="right"/>
            </w:pPr>
            <w:r>
              <w:rPr>
                <w:rFonts w:ascii="Times New Roman" w:hAnsi="Times New Roman" w:eastAsia="Times New Roman" w:cs="Times New Roman"/>
                <w:sz w:val="23"/>
                <w:szCs w:val="23"/>
              </w:rPr>
              <w:t>ii</w:t>
            </w:r>
          </w:p>
        </w:tc>
      </w:tr>
      <w:tr w14:paraId="562D2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7C1003D6">
            <w:r>
              <w:rPr>
                <w:rFonts w:ascii="Times New Roman" w:hAnsi="Times New Roman" w:eastAsia="Times New Roman" w:cs="Times New Roman"/>
                <w:b w:val="0"/>
                <w:bCs w:val="0"/>
                <w:sz w:val="23"/>
                <w:szCs w:val="23"/>
              </w:rPr>
              <w:t>Declaration</w:t>
            </w:r>
          </w:p>
        </w:tc>
        <w:tc>
          <w:tcPr>
            <w:tcW w:w="1526" w:type="dxa"/>
            <w:tcBorders>
              <w:top w:val="nil"/>
              <w:left w:val="nil"/>
              <w:bottom w:val="nil"/>
              <w:right w:val="nil"/>
            </w:tcBorders>
            <w:tcMar>
              <w:top w:w="60" w:type="dxa"/>
              <w:left w:w="0" w:type="dxa"/>
              <w:bottom w:w="60" w:type="dxa"/>
              <w:right w:w="0" w:type="dxa"/>
            </w:tcMar>
          </w:tcPr>
          <w:p w14:paraId="2922C55D">
            <w:pPr>
              <w:jc w:val="right"/>
            </w:pPr>
            <w:r>
              <w:rPr>
                <w:rFonts w:ascii="Times New Roman" w:hAnsi="Times New Roman" w:eastAsia="Times New Roman" w:cs="Times New Roman"/>
                <w:sz w:val="23"/>
                <w:szCs w:val="23"/>
              </w:rPr>
              <w:t>iii</w:t>
            </w:r>
          </w:p>
        </w:tc>
      </w:tr>
      <w:tr w14:paraId="5C6AB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05465F64">
            <w:r>
              <w:rPr>
                <w:rFonts w:ascii="Times New Roman" w:hAnsi="Times New Roman" w:eastAsia="Times New Roman" w:cs="Times New Roman"/>
                <w:b w:val="0"/>
                <w:bCs w:val="0"/>
                <w:sz w:val="23"/>
                <w:szCs w:val="23"/>
              </w:rPr>
              <w:t>Acknowledgement</w:t>
            </w:r>
          </w:p>
        </w:tc>
        <w:tc>
          <w:tcPr>
            <w:tcW w:w="1526" w:type="dxa"/>
            <w:tcBorders>
              <w:top w:val="nil"/>
              <w:left w:val="nil"/>
              <w:bottom w:val="nil"/>
              <w:right w:val="nil"/>
            </w:tcBorders>
            <w:tcMar>
              <w:top w:w="60" w:type="dxa"/>
              <w:left w:w="0" w:type="dxa"/>
              <w:bottom w:w="60" w:type="dxa"/>
              <w:right w:w="0" w:type="dxa"/>
            </w:tcMar>
          </w:tcPr>
          <w:p w14:paraId="4D51CE06">
            <w:pPr>
              <w:jc w:val="right"/>
            </w:pPr>
            <w:r>
              <w:rPr>
                <w:rFonts w:ascii="Times New Roman" w:hAnsi="Times New Roman" w:eastAsia="Times New Roman" w:cs="Times New Roman"/>
                <w:sz w:val="23"/>
                <w:szCs w:val="23"/>
              </w:rPr>
              <w:t>iv</w:t>
            </w:r>
          </w:p>
        </w:tc>
      </w:tr>
      <w:tr w14:paraId="027E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1DDED751">
            <w:r>
              <w:rPr>
                <w:rFonts w:ascii="Times New Roman" w:hAnsi="Times New Roman" w:eastAsia="Times New Roman" w:cs="Times New Roman"/>
                <w:b w:val="0"/>
                <w:bCs w:val="0"/>
                <w:sz w:val="23"/>
                <w:szCs w:val="23"/>
              </w:rPr>
              <w:t>Table of Contents</w:t>
            </w:r>
          </w:p>
        </w:tc>
        <w:tc>
          <w:tcPr>
            <w:tcW w:w="1526" w:type="dxa"/>
            <w:tcBorders>
              <w:top w:val="nil"/>
              <w:left w:val="nil"/>
              <w:bottom w:val="nil"/>
              <w:right w:val="nil"/>
            </w:tcBorders>
            <w:tcMar>
              <w:top w:w="60" w:type="dxa"/>
              <w:left w:w="0" w:type="dxa"/>
              <w:bottom w:w="60" w:type="dxa"/>
              <w:right w:w="0" w:type="dxa"/>
            </w:tcMar>
          </w:tcPr>
          <w:p w14:paraId="4E68DD94">
            <w:pPr>
              <w:jc w:val="right"/>
            </w:pPr>
            <w:r>
              <w:rPr>
                <w:rFonts w:ascii="Times New Roman" w:hAnsi="Times New Roman" w:eastAsia="Times New Roman" w:cs="Times New Roman"/>
                <w:sz w:val="23"/>
                <w:szCs w:val="23"/>
              </w:rPr>
              <w:t>v</w:t>
            </w:r>
          </w:p>
        </w:tc>
      </w:tr>
      <w:tr w14:paraId="64A1F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02830D8F">
            <w:r>
              <w:rPr>
                <w:rFonts w:ascii="Times New Roman" w:hAnsi="Times New Roman" w:eastAsia="Times New Roman" w:cs="Times New Roman"/>
                <w:b w:val="0"/>
                <w:bCs w:val="0"/>
                <w:sz w:val="23"/>
                <w:szCs w:val="23"/>
              </w:rPr>
              <w:t>List of Figures</w:t>
            </w:r>
          </w:p>
        </w:tc>
        <w:tc>
          <w:tcPr>
            <w:tcW w:w="1526" w:type="dxa"/>
            <w:tcBorders>
              <w:top w:val="nil"/>
              <w:left w:val="nil"/>
              <w:bottom w:val="nil"/>
              <w:right w:val="nil"/>
            </w:tcBorders>
            <w:tcMar>
              <w:top w:w="60" w:type="dxa"/>
              <w:left w:w="0" w:type="dxa"/>
              <w:bottom w:w="60" w:type="dxa"/>
              <w:right w:w="0" w:type="dxa"/>
            </w:tcMar>
          </w:tcPr>
          <w:p w14:paraId="2ADBBE00">
            <w:pPr>
              <w:jc w:val="right"/>
            </w:pPr>
            <w:r>
              <w:rPr>
                <w:rFonts w:ascii="Times New Roman" w:hAnsi="Times New Roman" w:eastAsia="Times New Roman" w:cs="Times New Roman"/>
                <w:sz w:val="23"/>
                <w:szCs w:val="23"/>
              </w:rPr>
              <w:t>vi</w:t>
            </w:r>
          </w:p>
        </w:tc>
      </w:tr>
      <w:tr w14:paraId="0A134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45A86F44">
            <w:r>
              <w:rPr>
                <w:rFonts w:ascii="Times New Roman" w:hAnsi="Times New Roman" w:eastAsia="Times New Roman" w:cs="Times New Roman"/>
                <w:b w:val="0"/>
                <w:bCs w:val="0"/>
                <w:sz w:val="23"/>
                <w:szCs w:val="23"/>
              </w:rPr>
              <w:t>List of Tables</w:t>
            </w:r>
          </w:p>
        </w:tc>
        <w:tc>
          <w:tcPr>
            <w:tcW w:w="1526" w:type="dxa"/>
            <w:tcBorders>
              <w:top w:val="nil"/>
              <w:left w:val="nil"/>
              <w:bottom w:val="nil"/>
              <w:right w:val="nil"/>
            </w:tcBorders>
            <w:tcMar>
              <w:top w:w="60" w:type="dxa"/>
              <w:left w:w="0" w:type="dxa"/>
              <w:bottom w:w="60" w:type="dxa"/>
              <w:right w:w="0" w:type="dxa"/>
            </w:tcMar>
          </w:tcPr>
          <w:p w14:paraId="65585E8C">
            <w:pPr>
              <w:jc w:val="right"/>
            </w:pPr>
            <w:r>
              <w:rPr>
                <w:rFonts w:ascii="Times New Roman" w:hAnsi="Times New Roman" w:eastAsia="Times New Roman" w:cs="Times New Roman"/>
                <w:sz w:val="23"/>
                <w:szCs w:val="23"/>
              </w:rPr>
              <w:t>vii</w:t>
            </w:r>
          </w:p>
        </w:tc>
      </w:tr>
      <w:tr w14:paraId="610E0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2A3D5C64">
            <w:r>
              <w:rPr>
                <w:rFonts w:ascii="Times New Roman" w:hAnsi="Times New Roman" w:eastAsia="Times New Roman" w:cs="Times New Roman"/>
                <w:b/>
                <w:bCs/>
                <w:sz w:val="23"/>
                <w:szCs w:val="23"/>
              </w:rPr>
              <w:t>1. Introduction</w:t>
            </w:r>
          </w:p>
        </w:tc>
        <w:tc>
          <w:tcPr>
            <w:tcW w:w="1526" w:type="dxa"/>
            <w:tcBorders>
              <w:top w:val="nil"/>
              <w:left w:val="nil"/>
              <w:bottom w:val="nil"/>
              <w:right w:val="nil"/>
            </w:tcBorders>
            <w:tcMar>
              <w:top w:w="60" w:type="dxa"/>
              <w:left w:w="0" w:type="dxa"/>
              <w:bottom w:w="60" w:type="dxa"/>
              <w:right w:w="0" w:type="dxa"/>
            </w:tcMar>
          </w:tcPr>
          <w:p w14:paraId="0F9BB4DB">
            <w:pPr>
              <w:jc w:val="right"/>
            </w:pPr>
            <w:r>
              <w:rPr>
                <w:rFonts w:ascii="Times New Roman" w:hAnsi="Times New Roman" w:eastAsia="Times New Roman" w:cs="Times New Roman"/>
                <w:sz w:val="23"/>
                <w:szCs w:val="23"/>
              </w:rPr>
              <w:t>1</w:t>
            </w:r>
          </w:p>
        </w:tc>
      </w:tr>
      <w:tr w14:paraId="553C4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0C8BA5DC">
            <w:r>
              <w:rPr>
                <w:rFonts w:ascii="Times New Roman" w:hAnsi="Times New Roman" w:eastAsia="Times New Roman" w:cs="Times New Roman"/>
                <w:b w:val="0"/>
                <w:bCs w:val="0"/>
                <w:sz w:val="23"/>
                <w:szCs w:val="23"/>
              </w:rPr>
              <w:t xml:space="preserve">   1.1 Background of the Problem</w:t>
            </w:r>
          </w:p>
        </w:tc>
        <w:tc>
          <w:tcPr>
            <w:tcW w:w="1526" w:type="dxa"/>
            <w:tcBorders>
              <w:top w:val="nil"/>
              <w:left w:val="nil"/>
              <w:bottom w:val="nil"/>
              <w:right w:val="nil"/>
            </w:tcBorders>
            <w:tcMar>
              <w:top w:w="60" w:type="dxa"/>
              <w:left w:w="0" w:type="dxa"/>
              <w:bottom w:w="60" w:type="dxa"/>
              <w:right w:w="0" w:type="dxa"/>
            </w:tcMar>
          </w:tcPr>
          <w:p w14:paraId="4E5A230B">
            <w:pPr>
              <w:jc w:val="right"/>
            </w:pPr>
            <w:r>
              <w:rPr>
                <w:rFonts w:ascii="Times New Roman" w:hAnsi="Times New Roman" w:eastAsia="Times New Roman" w:cs="Times New Roman"/>
                <w:sz w:val="23"/>
                <w:szCs w:val="23"/>
              </w:rPr>
              <w:t>1</w:t>
            </w:r>
          </w:p>
        </w:tc>
      </w:tr>
      <w:tr w14:paraId="652F7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68C1CF20">
            <w:r>
              <w:rPr>
                <w:rFonts w:ascii="Times New Roman" w:hAnsi="Times New Roman" w:eastAsia="Times New Roman" w:cs="Times New Roman"/>
                <w:b w:val="0"/>
                <w:bCs w:val="0"/>
                <w:sz w:val="23"/>
                <w:szCs w:val="23"/>
              </w:rPr>
              <w:t xml:space="preserve">   1.2 Importance of the Project</w:t>
            </w:r>
          </w:p>
        </w:tc>
        <w:tc>
          <w:tcPr>
            <w:tcW w:w="1526" w:type="dxa"/>
            <w:tcBorders>
              <w:top w:val="nil"/>
              <w:left w:val="nil"/>
              <w:bottom w:val="nil"/>
              <w:right w:val="nil"/>
            </w:tcBorders>
            <w:tcMar>
              <w:top w:w="60" w:type="dxa"/>
              <w:left w:w="0" w:type="dxa"/>
              <w:bottom w:w="60" w:type="dxa"/>
              <w:right w:w="0" w:type="dxa"/>
            </w:tcMar>
          </w:tcPr>
          <w:p w14:paraId="0725F97A">
            <w:pPr>
              <w:jc w:val="right"/>
            </w:pPr>
            <w:r>
              <w:rPr>
                <w:rFonts w:ascii="Times New Roman" w:hAnsi="Times New Roman" w:eastAsia="Times New Roman" w:cs="Times New Roman"/>
                <w:sz w:val="23"/>
                <w:szCs w:val="23"/>
              </w:rPr>
              <w:t>3</w:t>
            </w:r>
          </w:p>
        </w:tc>
      </w:tr>
      <w:tr w14:paraId="3821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18C678E4">
            <w:r>
              <w:rPr>
                <w:rFonts w:ascii="Times New Roman" w:hAnsi="Times New Roman" w:eastAsia="Times New Roman" w:cs="Times New Roman"/>
                <w:b w:val="0"/>
                <w:bCs w:val="0"/>
                <w:sz w:val="23"/>
                <w:szCs w:val="23"/>
              </w:rPr>
              <w:t xml:space="preserve">   1.3 Objectives of the Project</w:t>
            </w:r>
          </w:p>
        </w:tc>
        <w:tc>
          <w:tcPr>
            <w:tcW w:w="1526" w:type="dxa"/>
            <w:tcBorders>
              <w:top w:val="nil"/>
              <w:left w:val="nil"/>
              <w:bottom w:val="nil"/>
              <w:right w:val="nil"/>
            </w:tcBorders>
            <w:tcMar>
              <w:top w:w="60" w:type="dxa"/>
              <w:left w:w="0" w:type="dxa"/>
              <w:bottom w:w="60" w:type="dxa"/>
              <w:right w:w="0" w:type="dxa"/>
            </w:tcMar>
          </w:tcPr>
          <w:p w14:paraId="1610ABA0">
            <w:pPr>
              <w:jc w:val="right"/>
            </w:pPr>
            <w:r>
              <w:rPr>
                <w:rFonts w:ascii="Times New Roman" w:hAnsi="Times New Roman" w:eastAsia="Times New Roman" w:cs="Times New Roman"/>
                <w:sz w:val="23"/>
                <w:szCs w:val="23"/>
              </w:rPr>
              <w:t>4</w:t>
            </w:r>
          </w:p>
        </w:tc>
      </w:tr>
      <w:tr w14:paraId="795B5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3072035A">
            <w:r>
              <w:rPr>
                <w:rFonts w:ascii="Times New Roman" w:hAnsi="Times New Roman" w:eastAsia="Times New Roman" w:cs="Times New Roman"/>
                <w:b/>
                <w:bCs/>
                <w:sz w:val="23"/>
                <w:szCs w:val="23"/>
              </w:rPr>
              <w:t>2. Source of Dataset</w:t>
            </w:r>
          </w:p>
        </w:tc>
        <w:tc>
          <w:tcPr>
            <w:tcW w:w="1526" w:type="dxa"/>
            <w:tcBorders>
              <w:top w:val="nil"/>
              <w:left w:val="nil"/>
              <w:bottom w:val="nil"/>
              <w:right w:val="nil"/>
            </w:tcBorders>
            <w:tcMar>
              <w:top w:w="60" w:type="dxa"/>
              <w:left w:w="0" w:type="dxa"/>
              <w:bottom w:w="60" w:type="dxa"/>
              <w:right w:w="0" w:type="dxa"/>
            </w:tcMar>
          </w:tcPr>
          <w:p w14:paraId="49C9A53C">
            <w:pPr>
              <w:jc w:val="right"/>
            </w:pPr>
            <w:r>
              <w:rPr>
                <w:rFonts w:ascii="Times New Roman" w:hAnsi="Times New Roman" w:eastAsia="Times New Roman" w:cs="Times New Roman"/>
                <w:sz w:val="23"/>
                <w:szCs w:val="23"/>
              </w:rPr>
              <w:t>6</w:t>
            </w:r>
          </w:p>
        </w:tc>
      </w:tr>
      <w:tr w14:paraId="096E7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3056B60E">
            <w:r>
              <w:rPr>
                <w:rFonts w:ascii="Times New Roman" w:hAnsi="Times New Roman" w:eastAsia="Times New Roman" w:cs="Times New Roman"/>
                <w:b w:val="0"/>
                <w:bCs w:val="0"/>
                <w:sz w:val="23"/>
                <w:szCs w:val="23"/>
              </w:rPr>
              <w:t xml:space="preserve">   2.1 Dataset Origin</w:t>
            </w:r>
          </w:p>
        </w:tc>
        <w:tc>
          <w:tcPr>
            <w:tcW w:w="1526" w:type="dxa"/>
            <w:tcBorders>
              <w:top w:val="nil"/>
              <w:left w:val="nil"/>
              <w:bottom w:val="nil"/>
              <w:right w:val="nil"/>
            </w:tcBorders>
            <w:tcMar>
              <w:top w:w="60" w:type="dxa"/>
              <w:left w:w="0" w:type="dxa"/>
              <w:bottom w:w="60" w:type="dxa"/>
              <w:right w:w="0" w:type="dxa"/>
            </w:tcMar>
          </w:tcPr>
          <w:p w14:paraId="79653AA0">
            <w:pPr>
              <w:jc w:val="right"/>
            </w:pPr>
            <w:r>
              <w:rPr>
                <w:rFonts w:ascii="Times New Roman" w:hAnsi="Times New Roman" w:eastAsia="Times New Roman" w:cs="Times New Roman"/>
                <w:sz w:val="23"/>
                <w:szCs w:val="23"/>
              </w:rPr>
              <w:t>6</w:t>
            </w:r>
          </w:p>
        </w:tc>
      </w:tr>
      <w:tr w14:paraId="1BD57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0518FE71">
            <w:r>
              <w:rPr>
                <w:rFonts w:ascii="Times New Roman" w:hAnsi="Times New Roman" w:eastAsia="Times New Roman" w:cs="Times New Roman"/>
                <w:b w:val="0"/>
                <w:bCs w:val="0"/>
                <w:sz w:val="23"/>
                <w:szCs w:val="23"/>
              </w:rPr>
              <w:t xml:space="preserve">   2.2 Description of the Dataset</w:t>
            </w:r>
          </w:p>
        </w:tc>
        <w:tc>
          <w:tcPr>
            <w:tcW w:w="1526" w:type="dxa"/>
            <w:tcBorders>
              <w:top w:val="nil"/>
              <w:left w:val="nil"/>
              <w:bottom w:val="nil"/>
              <w:right w:val="nil"/>
            </w:tcBorders>
            <w:tcMar>
              <w:top w:w="60" w:type="dxa"/>
              <w:left w:w="0" w:type="dxa"/>
              <w:bottom w:w="60" w:type="dxa"/>
              <w:right w:w="0" w:type="dxa"/>
            </w:tcMar>
          </w:tcPr>
          <w:p w14:paraId="5C44C493">
            <w:pPr>
              <w:jc w:val="right"/>
            </w:pPr>
            <w:r>
              <w:rPr>
                <w:rFonts w:ascii="Times New Roman" w:hAnsi="Times New Roman" w:eastAsia="Times New Roman" w:cs="Times New Roman"/>
                <w:sz w:val="23"/>
                <w:szCs w:val="23"/>
              </w:rPr>
              <w:t>7</w:t>
            </w:r>
          </w:p>
        </w:tc>
      </w:tr>
      <w:tr w14:paraId="58B97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47D796D5">
            <w:r>
              <w:rPr>
                <w:rFonts w:ascii="Times New Roman" w:hAnsi="Times New Roman" w:eastAsia="Times New Roman" w:cs="Times New Roman"/>
                <w:b w:val="0"/>
                <w:bCs w:val="0"/>
                <w:sz w:val="23"/>
                <w:szCs w:val="23"/>
              </w:rPr>
              <w:t xml:space="preserve">   2.3 Attributes and Column Descriptions</w:t>
            </w:r>
          </w:p>
        </w:tc>
        <w:tc>
          <w:tcPr>
            <w:tcW w:w="1526" w:type="dxa"/>
            <w:tcBorders>
              <w:top w:val="nil"/>
              <w:left w:val="nil"/>
              <w:bottom w:val="nil"/>
              <w:right w:val="nil"/>
            </w:tcBorders>
            <w:tcMar>
              <w:top w:w="60" w:type="dxa"/>
              <w:left w:w="0" w:type="dxa"/>
              <w:bottom w:w="60" w:type="dxa"/>
              <w:right w:w="0" w:type="dxa"/>
            </w:tcMar>
          </w:tcPr>
          <w:p w14:paraId="4733986A">
            <w:pPr>
              <w:jc w:val="right"/>
            </w:pPr>
            <w:r>
              <w:rPr>
                <w:rFonts w:ascii="Times New Roman" w:hAnsi="Times New Roman" w:eastAsia="Times New Roman" w:cs="Times New Roman"/>
                <w:sz w:val="23"/>
                <w:szCs w:val="23"/>
              </w:rPr>
              <w:t>8</w:t>
            </w:r>
          </w:p>
        </w:tc>
      </w:tr>
      <w:tr w14:paraId="22621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0B59342D">
            <w:r>
              <w:rPr>
                <w:rFonts w:ascii="Times New Roman" w:hAnsi="Times New Roman" w:eastAsia="Times New Roman" w:cs="Times New Roman"/>
                <w:b/>
                <w:bCs/>
                <w:sz w:val="23"/>
                <w:szCs w:val="23"/>
              </w:rPr>
              <w:t>3. Dataset Preprocessing</w:t>
            </w:r>
          </w:p>
        </w:tc>
        <w:tc>
          <w:tcPr>
            <w:tcW w:w="1526" w:type="dxa"/>
            <w:tcBorders>
              <w:top w:val="nil"/>
              <w:left w:val="nil"/>
              <w:bottom w:val="nil"/>
              <w:right w:val="nil"/>
            </w:tcBorders>
            <w:tcMar>
              <w:top w:w="60" w:type="dxa"/>
              <w:left w:w="0" w:type="dxa"/>
              <w:bottom w:w="60" w:type="dxa"/>
              <w:right w:w="0" w:type="dxa"/>
            </w:tcMar>
          </w:tcPr>
          <w:p w14:paraId="3C4F5858">
            <w:pPr>
              <w:jc w:val="right"/>
            </w:pPr>
            <w:r>
              <w:rPr>
                <w:rFonts w:ascii="Times New Roman" w:hAnsi="Times New Roman" w:eastAsia="Times New Roman" w:cs="Times New Roman"/>
                <w:sz w:val="23"/>
                <w:szCs w:val="23"/>
              </w:rPr>
              <w:t>11</w:t>
            </w:r>
          </w:p>
        </w:tc>
      </w:tr>
      <w:tr w14:paraId="12BE0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27122D1F">
            <w:r>
              <w:rPr>
                <w:rFonts w:ascii="Times New Roman" w:hAnsi="Times New Roman" w:eastAsia="Times New Roman" w:cs="Times New Roman"/>
                <w:b w:val="0"/>
                <w:bCs w:val="0"/>
                <w:sz w:val="23"/>
                <w:szCs w:val="23"/>
              </w:rPr>
              <w:t xml:space="preserve">   3.1 Data Cleaning Steps</w:t>
            </w:r>
          </w:p>
        </w:tc>
        <w:tc>
          <w:tcPr>
            <w:tcW w:w="1526" w:type="dxa"/>
            <w:tcBorders>
              <w:top w:val="nil"/>
              <w:left w:val="nil"/>
              <w:bottom w:val="nil"/>
              <w:right w:val="nil"/>
            </w:tcBorders>
            <w:tcMar>
              <w:top w:w="60" w:type="dxa"/>
              <w:left w:w="0" w:type="dxa"/>
              <w:bottom w:w="60" w:type="dxa"/>
              <w:right w:w="0" w:type="dxa"/>
            </w:tcMar>
          </w:tcPr>
          <w:p w14:paraId="0468C2A4">
            <w:pPr>
              <w:jc w:val="right"/>
            </w:pPr>
            <w:r>
              <w:rPr>
                <w:rFonts w:ascii="Times New Roman" w:hAnsi="Times New Roman" w:eastAsia="Times New Roman" w:cs="Times New Roman"/>
                <w:sz w:val="23"/>
                <w:szCs w:val="23"/>
              </w:rPr>
              <w:t>11</w:t>
            </w:r>
          </w:p>
        </w:tc>
      </w:tr>
      <w:tr w14:paraId="6776C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5FB5362D">
            <w:r>
              <w:rPr>
                <w:rFonts w:ascii="Times New Roman" w:hAnsi="Times New Roman" w:eastAsia="Times New Roman" w:cs="Times New Roman"/>
                <w:b w:val="0"/>
                <w:bCs w:val="0"/>
                <w:sz w:val="23"/>
                <w:szCs w:val="23"/>
              </w:rPr>
              <w:t xml:space="preserve">   3.2 Handling Missing Values</w:t>
            </w:r>
          </w:p>
        </w:tc>
        <w:tc>
          <w:tcPr>
            <w:tcW w:w="1526" w:type="dxa"/>
            <w:tcBorders>
              <w:top w:val="nil"/>
              <w:left w:val="nil"/>
              <w:bottom w:val="nil"/>
              <w:right w:val="nil"/>
            </w:tcBorders>
            <w:tcMar>
              <w:top w:w="60" w:type="dxa"/>
              <w:left w:w="0" w:type="dxa"/>
              <w:bottom w:w="60" w:type="dxa"/>
              <w:right w:w="0" w:type="dxa"/>
            </w:tcMar>
          </w:tcPr>
          <w:p w14:paraId="5A05B24A">
            <w:pPr>
              <w:jc w:val="right"/>
            </w:pPr>
            <w:r>
              <w:rPr>
                <w:rFonts w:ascii="Times New Roman" w:hAnsi="Times New Roman" w:eastAsia="Times New Roman" w:cs="Times New Roman"/>
                <w:sz w:val="23"/>
                <w:szCs w:val="23"/>
              </w:rPr>
              <w:t>13</w:t>
            </w:r>
          </w:p>
        </w:tc>
      </w:tr>
      <w:tr w14:paraId="2C0A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63D82C5F">
            <w:r>
              <w:rPr>
                <w:rFonts w:ascii="Times New Roman" w:hAnsi="Times New Roman" w:eastAsia="Times New Roman" w:cs="Times New Roman"/>
                <w:b w:val="0"/>
                <w:bCs w:val="0"/>
                <w:sz w:val="23"/>
                <w:szCs w:val="23"/>
              </w:rPr>
              <w:t xml:space="preserve">   3.3 Feature Engineering</w:t>
            </w:r>
          </w:p>
        </w:tc>
        <w:tc>
          <w:tcPr>
            <w:tcW w:w="1526" w:type="dxa"/>
            <w:tcBorders>
              <w:top w:val="nil"/>
              <w:left w:val="nil"/>
              <w:bottom w:val="nil"/>
              <w:right w:val="nil"/>
            </w:tcBorders>
            <w:tcMar>
              <w:top w:w="60" w:type="dxa"/>
              <w:left w:w="0" w:type="dxa"/>
              <w:bottom w:w="60" w:type="dxa"/>
              <w:right w:w="0" w:type="dxa"/>
            </w:tcMar>
          </w:tcPr>
          <w:p w14:paraId="27EE91F5">
            <w:pPr>
              <w:jc w:val="right"/>
            </w:pPr>
            <w:r>
              <w:rPr>
                <w:rFonts w:ascii="Times New Roman" w:hAnsi="Times New Roman" w:eastAsia="Times New Roman" w:cs="Times New Roman"/>
                <w:sz w:val="23"/>
                <w:szCs w:val="23"/>
              </w:rPr>
              <w:t>14</w:t>
            </w:r>
          </w:p>
        </w:tc>
      </w:tr>
      <w:tr w14:paraId="7A95F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1D915F28">
            <w:r>
              <w:rPr>
                <w:rFonts w:ascii="Times New Roman" w:hAnsi="Times New Roman" w:eastAsia="Times New Roman" w:cs="Times New Roman"/>
                <w:b w:val="0"/>
                <w:bCs w:val="0"/>
                <w:sz w:val="23"/>
                <w:szCs w:val="23"/>
              </w:rPr>
              <w:t xml:space="preserve">   3.4 Tools Used</w:t>
            </w:r>
          </w:p>
        </w:tc>
        <w:tc>
          <w:tcPr>
            <w:tcW w:w="1526" w:type="dxa"/>
            <w:tcBorders>
              <w:top w:val="nil"/>
              <w:left w:val="nil"/>
              <w:bottom w:val="nil"/>
              <w:right w:val="nil"/>
            </w:tcBorders>
            <w:tcMar>
              <w:top w:w="60" w:type="dxa"/>
              <w:left w:w="0" w:type="dxa"/>
              <w:bottom w:w="60" w:type="dxa"/>
              <w:right w:w="0" w:type="dxa"/>
            </w:tcMar>
          </w:tcPr>
          <w:p w14:paraId="4606DB8A">
            <w:pPr>
              <w:jc w:val="right"/>
            </w:pPr>
            <w:r>
              <w:rPr>
                <w:rFonts w:ascii="Times New Roman" w:hAnsi="Times New Roman" w:eastAsia="Times New Roman" w:cs="Times New Roman"/>
                <w:sz w:val="23"/>
                <w:szCs w:val="23"/>
              </w:rPr>
              <w:t>15</w:t>
            </w:r>
          </w:p>
        </w:tc>
      </w:tr>
      <w:tr w14:paraId="7FCE9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12168862">
            <w:r>
              <w:rPr>
                <w:rFonts w:ascii="Times New Roman" w:hAnsi="Times New Roman" w:eastAsia="Times New Roman" w:cs="Times New Roman"/>
                <w:b/>
                <w:bCs/>
                <w:sz w:val="23"/>
                <w:szCs w:val="23"/>
              </w:rPr>
              <w:t>4. Analysis on Dataset</w:t>
            </w:r>
          </w:p>
        </w:tc>
        <w:tc>
          <w:tcPr>
            <w:tcW w:w="1526" w:type="dxa"/>
            <w:tcBorders>
              <w:top w:val="nil"/>
              <w:left w:val="nil"/>
              <w:bottom w:val="nil"/>
              <w:right w:val="nil"/>
            </w:tcBorders>
            <w:tcMar>
              <w:top w:w="60" w:type="dxa"/>
              <w:left w:w="0" w:type="dxa"/>
              <w:bottom w:w="60" w:type="dxa"/>
              <w:right w:w="0" w:type="dxa"/>
            </w:tcMar>
          </w:tcPr>
          <w:p w14:paraId="67692F2A">
            <w:pPr>
              <w:jc w:val="right"/>
            </w:pPr>
            <w:r>
              <w:rPr>
                <w:rFonts w:ascii="Times New Roman" w:hAnsi="Times New Roman" w:eastAsia="Times New Roman" w:cs="Times New Roman"/>
                <w:sz w:val="23"/>
                <w:szCs w:val="23"/>
              </w:rPr>
              <w:t>17</w:t>
            </w:r>
          </w:p>
        </w:tc>
      </w:tr>
      <w:tr w14:paraId="15CE5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2A51FC9C">
            <w:r>
              <w:rPr>
                <w:rFonts w:ascii="Times New Roman" w:hAnsi="Times New Roman" w:eastAsia="Times New Roman" w:cs="Times New Roman"/>
                <w:b w:val="0"/>
                <w:bCs w:val="0"/>
                <w:sz w:val="23"/>
                <w:szCs w:val="23"/>
              </w:rPr>
              <w:t xml:space="preserve">   4.1 Objective 1 – GDP Trend Analysis Across Countries</w:t>
            </w:r>
          </w:p>
        </w:tc>
        <w:tc>
          <w:tcPr>
            <w:tcW w:w="1526" w:type="dxa"/>
            <w:tcBorders>
              <w:top w:val="nil"/>
              <w:left w:val="nil"/>
              <w:bottom w:val="nil"/>
              <w:right w:val="nil"/>
            </w:tcBorders>
            <w:tcMar>
              <w:top w:w="60" w:type="dxa"/>
              <w:left w:w="0" w:type="dxa"/>
              <w:bottom w:w="60" w:type="dxa"/>
              <w:right w:w="0" w:type="dxa"/>
            </w:tcMar>
          </w:tcPr>
          <w:p w14:paraId="0E6C50FC">
            <w:pPr>
              <w:jc w:val="right"/>
            </w:pPr>
            <w:r>
              <w:rPr>
                <w:rFonts w:ascii="Times New Roman" w:hAnsi="Times New Roman" w:eastAsia="Times New Roman" w:cs="Times New Roman"/>
                <w:sz w:val="23"/>
                <w:szCs w:val="23"/>
              </w:rPr>
              <w:t>17</w:t>
            </w:r>
          </w:p>
        </w:tc>
      </w:tr>
      <w:tr w14:paraId="343AC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6A51CD83">
            <w:r>
              <w:rPr>
                <w:rFonts w:ascii="Times New Roman" w:hAnsi="Times New Roman" w:eastAsia="Times New Roman" w:cs="Times New Roman"/>
                <w:b w:val="0"/>
                <w:bCs w:val="0"/>
                <w:sz w:val="23"/>
                <w:szCs w:val="23"/>
              </w:rPr>
              <w:t xml:space="preserve">   4.2 Objective 2 – Population Growth Dynamics</w:t>
            </w:r>
          </w:p>
        </w:tc>
        <w:tc>
          <w:tcPr>
            <w:tcW w:w="1526" w:type="dxa"/>
            <w:tcBorders>
              <w:top w:val="nil"/>
              <w:left w:val="nil"/>
              <w:bottom w:val="nil"/>
              <w:right w:val="nil"/>
            </w:tcBorders>
            <w:tcMar>
              <w:top w:w="60" w:type="dxa"/>
              <w:left w:w="0" w:type="dxa"/>
              <w:bottom w:w="60" w:type="dxa"/>
              <w:right w:w="0" w:type="dxa"/>
            </w:tcMar>
          </w:tcPr>
          <w:p w14:paraId="4A590B85">
            <w:pPr>
              <w:jc w:val="right"/>
            </w:pPr>
            <w:r>
              <w:rPr>
                <w:rFonts w:ascii="Times New Roman" w:hAnsi="Times New Roman" w:eastAsia="Times New Roman" w:cs="Times New Roman"/>
                <w:sz w:val="23"/>
                <w:szCs w:val="23"/>
              </w:rPr>
              <w:t>22</w:t>
            </w:r>
          </w:p>
        </w:tc>
      </w:tr>
      <w:tr w14:paraId="2A772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4E3BEC0F">
            <w:r>
              <w:rPr>
                <w:rFonts w:ascii="Times New Roman" w:hAnsi="Times New Roman" w:eastAsia="Times New Roman" w:cs="Times New Roman"/>
                <w:b w:val="0"/>
                <w:bCs w:val="0"/>
                <w:sz w:val="23"/>
                <w:szCs w:val="23"/>
              </w:rPr>
              <w:t xml:space="preserve">   4.3 Objective 3 – Energy Use and CO₂ Emissions Analysis</w:t>
            </w:r>
          </w:p>
        </w:tc>
        <w:tc>
          <w:tcPr>
            <w:tcW w:w="1526" w:type="dxa"/>
            <w:tcBorders>
              <w:top w:val="nil"/>
              <w:left w:val="nil"/>
              <w:bottom w:val="nil"/>
              <w:right w:val="nil"/>
            </w:tcBorders>
            <w:tcMar>
              <w:top w:w="60" w:type="dxa"/>
              <w:left w:w="0" w:type="dxa"/>
              <w:bottom w:w="60" w:type="dxa"/>
              <w:right w:w="0" w:type="dxa"/>
            </w:tcMar>
          </w:tcPr>
          <w:p w14:paraId="5BAB46DC">
            <w:pPr>
              <w:jc w:val="right"/>
            </w:pPr>
            <w:r>
              <w:rPr>
                <w:rFonts w:ascii="Times New Roman" w:hAnsi="Times New Roman" w:eastAsia="Times New Roman" w:cs="Times New Roman"/>
                <w:sz w:val="23"/>
                <w:szCs w:val="23"/>
              </w:rPr>
              <w:t>27</w:t>
            </w:r>
          </w:p>
        </w:tc>
      </w:tr>
      <w:tr w14:paraId="014B7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7254C8BC">
            <w:r>
              <w:rPr>
                <w:rFonts w:ascii="Times New Roman" w:hAnsi="Times New Roman" w:eastAsia="Times New Roman" w:cs="Times New Roman"/>
                <w:b w:val="0"/>
                <w:bCs w:val="0"/>
                <w:sz w:val="23"/>
                <w:szCs w:val="23"/>
              </w:rPr>
              <w:t xml:space="preserve">   4.4 Objective 4 – Freshwater Consumption Patterns</w:t>
            </w:r>
          </w:p>
        </w:tc>
        <w:tc>
          <w:tcPr>
            <w:tcW w:w="1526" w:type="dxa"/>
            <w:tcBorders>
              <w:top w:val="nil"/>
              <w:left w:val="nil"/>
              <w:bottom w:val="nil"/>
              <w:right w:val="nil"/>
            </w:tcBorders>
            <w:tcMar>
              <w:top w:w="60" w:type="dxa"/>
              <w:left w:w="0" w:type="dxa"/>
              <w:bottom w:w="60" w:type="dxa"/>
              <w:right w:w="0" w:type="dxa"/>
            </w:tcMar>
          </w:tcPr>
          <w:p w14:paraId="4DBC5991">
            <w:pPr>
              <w:jc w:val="right"/>
            </w:pPr>
            <w:r>
              <w:rPr>
                <w:rFonts w:ascii="Times New Roman" w:hAnsi="Times New Roman" w:eastAsia="Times New Roman" w:cs="Times New Roman"/>
                <w:sz w:val="23"/>
                <w:szCs w:val="23"/>
              </w:rPr>
              <w:t>33</w:t>
            </w:r>
          </w:p>
        </w:tc>
      </w:tr>
      <w:tr w14:paraId="5A3F9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05A3E536">
            <w:r>
              <w:rPr>
                <w:rFonts w:ascii="Times New Roman" w:hAnsi="Times New Roman" w:eastAsia="Times New Roman" w:cs="Times New Roman"/>
                <w:b w:val="0"/>
                <w:bCs w:val="0"/>
                <w:sz w:val="23"/>
                <w:szCs w:val="23"/>
              </w:rPr>
              <w:t xml:space="preserve">   4.5 Objective 5 – Composite Global Dashboard Insights</w:t>
            </w:r>
          </w:p>
        </w:tc>
        <w:tc>
          <w:tcPr>
            <w:tcW w:w="1526" w:type="dxa"/>
            <w:tcBorders>
              <w:top w:val="nil"/>
              <w:left w:val="nil"/>
              <w:bottom w:val="nil"/>
              <w:right w:val="nil"/>
            </w:tcBorders>
            <w:tcMar>
              <w:top w:w="60" w:type="dxa"/>
              <w:left w:w="0" w:type="dxa"/>
              <w:bottom w:w="60" w:type="dxa"/>
              <w:right w:w="0" w:type="dxa"/>
            </w:tcMar>
          </w:tcPr>
          <w:p w14:paraId="59A85451">
            <w:pPr>
              <w:jc w:val="right"/>
            </w:pPr>
            <w:r>
              <w:rPr>
                <w:rFonts w:ascii="Times New Roman" w:hAnsi="Times New Roman" w:eastAsia="Times New Roman" w:cs="Times New Roman"/>
                <w:sz w:val="23"/>
                <w:szCs w:val="23"/>
              </w:rPr>
              <w:t>38</w:t>
            </w:r>
          </w:p>
        </w:tc>
      </w:tr>
      <w:tr w14:paraId="214D2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20F9D5AA">
            <w:r>
              <w:rPr>
                <w:rFonts w:ascii="Times New Roman" w:hAnsi="Times New Roman" w:eastAsia="Times New Roman" w:cs="Times New Roman"/>
                <w:b/>
                <w:bCs/>
                <w:sz w:val="23"/>
                <w:szCs w:val="23"/>
              </w:rPr>
              <w:t>5. Conclusion</w:t>
            </w:r>
          </w:p>
        </w:tc>
        <w:tc>
          <w:tcPr>
            <w:tcW w:w="1526" w:type="dxa"/>
            <w:tcBorders>
              <w:top w:val="nil"/>
              <w:left w:val="nil"/>
              <w:bottom w:val="nil"/>
              <w:right w:val="nil"/>
            </w:tcBorders>
            <w:tcMar>
              <w:top w:w="60" w:type="dxa"/>
              <w:left w:w="0" w:type="dxa"/>
              <w:bottom w:w="60" w:type="dxa"/>
              <w:right w:w="0" w:type="dxa"/>
            </w:tcMar>
          </w:tcPr>
          <w:p w14:paraId="015094C9">
            <w:pPr>
              <w:jc w:val="right"/>
            </w:pPr>
            <w:r>
              <w:rPr>
                <w:rFonts w:ascii="Times New Roman" w:hAnsi="Times New Roman" w:eastAsia="Times New Roman" w:cs="Times New Roman"/>
                <w:sz w:val="23"/>
                <w:szCs w:val="23"/>
              </w:rPr>
              <w:t>43</w:t>
            </w:r>
          </w:p>
        </w:tc>
      </w:tr>
      <w:tr w14:paraId="575FA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5949044B">
            <w:r>
              <w:rPr>
                <w:rFonts w:ascii="Times New Roman" w:hAnsi="Times New Roman" w:eastAsia="Times New Roman" w:cs="Times New Roman"/>
                <w:b/>
                <w:bCs/>
                <w:sz w:val="23"/>
                <w:szCs w:val="23"/>
              </w:rPr>
              <w:t>6. Future Scope</w:t>
            </w:r>
          </w:p>
        </w:tc>
        <w:tc>
          <w:tcPr>
            <w:tcW w:w="1526" w:type="dxa"/>
            <w:tcBorders>
              <w:top w:val="nil"/>
              <w:left w:val="nil"/>
              <w:bottom w:val="nil"/>
              <w:right w:val="nil"/>
            </w:tcBorders>
            <w:tcMar>
              <w:top w:w="60" w:type="dxa"/>
              <w:left w:w="0" w:type="dxa"/>
              <w:bottom w:w="60" w:type="dxa"/>
              <w:right w:w="0" w:type="dxa"/>
            </w:tcMar>
          </w:tcPr>
          <w:p w14:paraId="66893D94">
            <w:pPr>
              <w:jc w:val="right"/>
            </w:pPr>
            <w:r>
              <w:rPr>
                <w:rFonts w:ascii="Times New Roman" w:hAnsi="Times New Roman" w:eastAsia="Times New Roman" w:cs="Times New Roman"/>
                <w:sz w:val="23"/>
                <w:szCs w:val="23"/>
              </w:rPr>
              <w:t>45</w:t>
            </w:r>
          </w:p>
        </w:tc>
      </w:tr>
      <w:tr w14:paraId="0CE0E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38E54A13">
            <w:r>
              <w:rPr>
                <w:rFonts w:ascii="Times New Roman" w:hAnsi="Times New Roman" w:eastAsia="Times New Roman" w:cs="Times New Roman"/>
                <w:b/>
                <w:bCs/>
                <w:sz w:val="23"/>
                <w:szCs w:val="23"/>
              </w:rPr>
              <w:t>7. References</w:t>
            </w:r>
          </w:p>
        </w:tc>
        <w:tc>
          <w:tcPr>
            <w:tcW w:w="1526" w:type="dxa"/>
            <w:tcBorders>
              <w:top w:val="nil"/>
              <w:left w:val="nil"/>
              <w:bottom w:val="nil"/>
              <w:right w:val="nil"/>
            </w:tcBorders>
            <w:tcMar>
              <w:top w:w="60" w:type="dxa"/>
              <w:left w:w="0" w:type="dxa"/>
              <w:bottom w:w="60" w:type="dxa"/>
              <w:right w:w="0" w:type="dxa"/>
            </w:tcMar>
          </w:tcPr>
          <w:p w14:paraId="2E04D47D">
            <w:pPr>
              <w:jc w:val="right"/>
            </w:pPr>
            <w:r>
              <w:rPr>
                <w:rFonts w:ascii="Times New Roman" w:hAnsi="Times New Roman" w:eastAsia="Times New Roman" w:cs="Times New Roman"/>
                <w:sz w:val="23"/>
                <w:szCs w:val="23"/>
              </w:rPr>
              <w:t>47</w:t>
            </w:r>
          </w:p>
        </w:tc>
      </w:tr>
      <w:tr w14:paraId="57AC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0" w:type="dxa"/>
            <w:tcBorders>
              <w:top w:val="nil"/>
              <w:left w:val="nil"/>
              <w:bottom w:val="nil"/>
              <w:right w:val="nil"/>
            </w:tcBorders>
            <w:tcMar>
              <w:top w:w="60" w:type="dxa"/>
              <w:left w:w="0" w:type="dxa"/>
              <w:bottom w:w="60" w:type="dxa"/>
              <w:right w:w="0" w:type="dxa"/>
            </w:tcMar>
          </w:tcPr>
          <w:p w14:paraId="1DB195A8">
            <w:r>
              <w:rPr>
                <w:rFonts w:ascii="Times New Roman" w:hAnsi="Times New Roman" w:eastAsia="Times New Roman" w:cs="Times New Roman"/>
                <w:b w:val="0"/>
                <w:bCs w:val="0"/>
                <w:sz w:val="23"/>
                <w:szCs w:val="23"/>
              </w:rPr>
              <w:t>LinkedIn Project Link</w:t>
            </w:r>
          </w:p>
        </w:tc>
        <w:tc>
          <w:tcPr>
            <w:tcW w:w="1526" w:type="dxa"/>
            <w:tcBorders>
              <w:top w:val="nil"/>
              <w:left w:val="nil"/>
              <w:bottom w:val="nil"/>
              <w:right w:val="nil"/>
            </w:tcBorders>
            <w:tcMar>
              <w:top w:w="60" w:type="dxa"/>
              <w:left w:w="0" w:type="dxa"/>
              <w:bottom w:w="60" w:type="dxa"/>
              <w:right w:w="0" w:type="dxa"/>
            </w:tcMar>
          </w:tcPr>
          <w:p w14:paraId="38550F56">
            <w:pPr>
              <w:jc w:val="right"/>
            </w:pPr>
            <w:r>
              <w:rPr>
                <w:rFonts w:ascii="Times New Roman" w:hAnsi="Times New Roman" w:eastAsia="Times New Roman" w:cs="Times New Roman"/>
                <w:sz w:val="23"/>
                <w:szCs w:val="23"/>
              </w:rPr>
              <w:t>49</w:t>
            </w:r>
          </w:p>
        </w:tc>
      </w:tr>
    </w:tbl>
    <w:p w14:paraId="6C4C9CFD">
      <w:r>
        <w:br w:type="page"/>
      </w:r>
    </w:p>
    <w:p w14:paraId="031EA53B">
      <w:pPr>
        <w:pStyle w:val="2"/>
        <w:spacing w:before="320" w:after="200"/>
      </w:pPr>
      <w:r>
        <w:rPr>
          <w:rFonts w:ascii="Times New Roman" w:hAnsi="Times New Roman" w:eastAsia="Times New Roman" w:cs="Times New Roman"/>
          <w:b/>
          <w:bCs/>
          <w:sz w:val="32"/>
          <w:szCs w:val="32"/>
        </w:rPr>
        <w:t>LIST OF FIGURES</w:t>
      </w:r>
    </w:p>
    <w:p w14:paraId="7165AF43">
      <w:pPr>
        <w:pBdr>
          <w:bottom w:val="single" w:color="2E75B6" w:sz="4" w:space="1"/>
        </w:pBdr>
        <w:spacing w:before="100" w:after="100"/>
      </w:pPr>
    </w:p>
    <w:p w14:paraId="2864D4F7"/>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43FC5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0E624330">
            <w:pPr>
              <w:jc w:val="center"/>
            </w:pPr>
            <w:r>
              <w:rPr>
                <w:rFonts w:ascii="Times New Roman" w:hAnsi="Times New Roman" w:eastAsia="Times New Roman" w:cs="Times New Roman"/>
                <w:b/>
                <w:bCs/>
                <w:color w:val="FFFFFF"/>
                <w:sz w:val="22"/>
                <w:szCs w:val="22"/>
              </w:rPr>
              <w:t>Figure No.</w:t>
            </w:r>
          </w:p>
        </w:tc>
        <w:tc>
          <w:tcPr>
            <w:tcW w:w="3008"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58D91B3C">
            <w:pPr>
              <w:jc w:val="center"/>
            </w:pPr>
            <w:r>
              <w:rPr>
                <w:rFonts w:ascii="Times New Roman" w:hAnsi="Times New Roman" w:eastAsia="Times New Roman" w:cs="Times New Roman"/>
                <w:b/>
                <w:bCs/>
                <w:color w:val="FFFFFF"/>
                <w:sz w:val="22"/>
                <w:szCs w:val="22"/>
              </w:rPr>
              <w:t>Figure Title</w:t>
            </w:r>
          </w:p>
        </w:tc>
        <w:tc>
          <w:tcPr>
            <w:tcW w:w="3008"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43980F75">
            <w:pPr>
              <w:jc w:val="center"/>
            </w:pPr>
            <w:r>
              <w:rPr>
                <w:rFonts w:ascii="Times New Roman" w:hAnsi="Times New Roman" w:eastAsia="Times New Roman" w:cs="Times New Roman"/>
                <w:b/>
                <w:bCs/>
                <w:color w:val="FFFFFF"/>
                <w:sz w:val="22"/>
                <w:szCs w:val="22"/>
              </w:rPr>
              <w:t>Page No.</w:t>
            </w:r>
          </w:p>
        </w:tc>
      </w:tr>
      <w:tr w14:paraId="3E013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246738B">
            <w:pPr>
              <w:jc w:val="center"/>
            </w:pPr>
            <w:r>
              <w:rPr>
                <w:rFonts w:ascii="Times New Roman" w:hAnsi="Times New Roman" w:eastAsia="Times New Roman" w:cs="Times New Roman"/>
                <w:sz w:val="22"/>
                <w:szCs w:val="22"/>
              </w:rPr>
              <w:t>Figure 1</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F8CC572">
            <w:pPr>
              <w:jc w:val="center"/>
            </w:pPr>
            <w:r>
              <w:rPr>
                <w:rFonts w:ascii="Times New Roman" w:hAnsi="Times New Roman" w:eastAsia="Times New Roman" w:cs="Times New Roman"/>
                <w:sz w:val="22"/>
                <w:szCs w:val="22"/>
              </w:rPr>
              <w:t>Power BI Dashboard – Global Economic Indicators Overview</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7855ED2">
            <w:pPr>
              <w:jc w:val="center"/>
            </w:pPr>
            <w:r>
              <w:rPr>
                <w:rFonts w:ascii="Times New Roman" w:hAnsi="Times New Roman" w:eastAsia="Times New Roman" w:cs="Times New Roman"/>
                <w:sz w:val="22"/>
                <w:szCs w:val="22"/>
              </w:rPr>
              <w:t>5</w:t>
            </w:r>
          </w:p>
        </w:tc>
      </w:tr>
      <w:tr w14:paraId="10EC9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6F48C56">
            <w:pPr>
              <w:jc w:val="center"/>
            </w:pPr>
            <w:r>
              <w:rPr>
                <w:rFonts w:ascii="Times New Roman" w:hAnsi="Times New Roman" w:eastAsia="Times New Roman" w:cs="Times New Roman"/>
                <w:sz w:val="22"/>
                <w:szCs w:val="22"/>
              </w:rPr>
              <w:t>Figure 2</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FA36F45">
            <w:pPr>
              <w:jc w:val="center"/>
            </w:pPr>
            <w:r>
              <w:rPr>
                <w:rFonts w:ascii="Times New Roman" w:hAnsi="Times New Roman" w:eastAsia="Times New Roman" w:cs="Times New Roman"/>
                <w:sz w:val="22"/>
                <w:szCs w:val="22"/>
              </w:rPr>
              <w:t>Line Chart – Gross Domestic Product (USD) Trends by Country</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6C03FDC">
            <w:pPr>
              <w:jc w:val="center"/>
            </w:pPr>
            <w:r>
              <w:rPr>
                <w:rFonts w:ascii="Times New Roman" w:hAnsi="Times New Roman" w:eastAsia="Times New Roman" w:cs="Times New Roman"/>
                <w:sz w:val="22"/>
                <w:szCs w:val="22"/>
              </w:rPr>
              <w:t>19</w:t>
            </w:r>
          </w:p>
        </w:tc>
      </w:tr>
      <w:tr w14:paraId="391C9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862CE1C">
            <w:pPr>
              <w:jc w:val="center"/>
            </w:pPr>
            <w:r>
              <w:rPr>
                <w:rFonts w:ascii="Times New Roman" w:hAnsi="Times New Roman" w:eastAsia="Times New Roman" w:cs="Times New Roman"/>
                <w:sz w:val="22"/>
                <w:szCs w:val="22"/>
              </w:rPr>
              <w:t>Figure 3</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7C02D61D">
            <w:pPr>
              <w:jc w:val="center"/>
            </w:pPr>
            <w:r>
              <w:rPr>
                <w:rFonts w:ascii="Times New Roman" w:hAnsi="Times New Roman" w:eastAsia="Times New Roman" w:cs="Times New Roman"/>
                <w:sz w:val="22"/>
                <w:szCs w:val="22"/>
              </w:rPr>
              <w:t>Slicer Panel – Country, Year, and Indicator Filters</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5F53966">
            <w:pPr>
              <w:jc w:val="center"/>
            </w:pPr>
            <w:r>
              <w:rPr>
                <w:rFonts w:ascii="Times New Roman" w:hAnsi="Times New Roman" w:eastAsia="Times New Roman" w:cs="Times New Roman"/>
                <w:sz w:val="22"/>
                <w:szCs w:val="22"/>
              </w:rPr>
              <w:t>20</w:t>
            </w:r>
          </w:p>
        </w:tc>
      </w:tr>
      <w:tr w14:paraId="190ED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ACD8622">
            <w:pPr>
              <w:jc w:val="center"/>
            </w:pPr>
            <w:r>
              <w:rPr>
                <w:rFonts w:ascii="Times New Roman" w:hAnsi="Times New Roman" w:eastAsia="Times New Roman" w:cs="Times New Roman"/>
                <w:sz w:val="22"/>
                <w:szCs w:val="22"/>
              </w:rPr>
              <w:t>Figure 4</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EEB45F2">
            <w:pPr>
              <w:jc w:val="center"/>
            </w:pPr>
            <w:r>
              <w:rPr>
                <w:rFonts w:ascii="Times New Roman" w:hAnsi="Times New Roman" w:eastAsia="Times New Roman" w:cs="Times New Roman"/>
                <w:sz w:val="22"/>
                <w:szCs w:val="22"/>
              </w:rPr>
              <w:t>KPI Cards – Energy Usage, CO₂ Emission, Population, Freshwater, GDP</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0C0F225">
            <w:pPr>
              <w:jc w:val="center"/>
            </w:pPr>
            <w:r>
              <w:rPr>
                <w:rFonts w:ascii="Times New Roman" w:hAnsi="Times New Roman" w:eastAsia="Times New Roman" w:cs="Times New Roman"/>
                <w:sz w:val="22"/>
                <w:szCs w:val="22"/>
              </w:rPr>
              <w:t>21</w:t>
            </w:r>
          </w:p>
        </w:tc>
      </w:tr>
      <w:tr w14:paraId="36C75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FD2ACAE">
            <w:pPr>
              <w:jc w:val="center"/>
            </w:pPr>
            <w:r>
              <w:rPr>
                <w:rFonts w:ascii="Times New Roman" w:hAnsi="Times New Roman" w:eastAsia="Times New Roman" w:cs="Times New Roman"/>
                <w:sz w:val="22"/>
                <w:szCs w:val="22"/>
              </w:rPr>
              <w:t>Figure 5</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EE1032E">
            <w:pPr>
              <w:jc w:val="center"/>
            </w:pPr>
            <w:r>
              <w:rPr>
                <w:rFonts w:ascii="Times New Roman" w:hAnsi="Times New Roman" w:eastAsia="Times New Roman" w:cs="Times New Roman"/>
                <w:sz w:val="22"/>
                <w:szCs w:val="22"/>
              </w:rPr>
              <w:t>Line Chart – Population Growth Trends by Country</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D4C3FDC">
            <w:pPr>
              <w:jc w:val="center"/>
            </w:pPr>
            <w:r>
              <w:rPr>
                <w:rFonts w:ascii="Times New Roman" w:hAnsi="Times New Roman" w:eastAsia="Times New Roman" w:cs="Times New Roman"/>
                <w:sz w:val="22"/>
                <w:szCs w:val="22"/>
              </w:rPr>
              <w:t>24</w:t>
            </w:r>
          </w:p>
        </w:tc>
      </w:tr>
      <w:tr w14:paraId="7EDA7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0EC2B611">
            <w:pPr>
              <w:jc w:val="center"/>
            </w:pPr>
            <w:r>
              <w:rPr>
                <w:rFonts w:ascii="Times New Roman" w:hAnsi="Times New Roman" w:eastAsia="Times New Roman" w:cs="Times New Roman"/>
                <w:sz w:val="22"/>
                <w:szCs w:val="22"/>
              </w:rPr>
              <w:t>Figure 6</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0468512">
            <w:pPr>
              <w:jc w:val="center"/>
            </w:pPr>
            <w:r>
              <w:rPr>
                <w:rFonts w:ascii="Times New Roman" w:hAnsi="Times New Roman" w:eastAsia="Times New Roman" w:cs="Times New Roman"/>
                <w:sz w:val="22"/>
                <w:szCs w:val="22"/>
              </w:rPr>
              <w:t>World Map Visual – Global Economic Indicators by Country</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214143A">
            <w:pPr>
              <w:jc w:val="center"/>
            </w:pPr>
            <w:r>
              <w:rPr>
                <w:rFonts w:ascii="Times New Roman" w:hAnsi="Times New Roman" w:eastAsia="Times New Roman" w:cs="Times New Roman"/>
                <w:sz w:val="22"/>
                <w:szCs w:val="22"/>
              </w:rPr>
              <w:t>26</w:t>
            </w:r>
          </w:p>
        </w:tc>
      </w:tr>
      <w:tr w14:paraId="16E62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94FF033">
            <w:pPr>
              <w:jc w:val="center"/>
            </w:pPr>
            <w:r>
              <w:rPr>
                <w:rFonts w:ascii="Times New Roman" w:hAnsi="Times New Roman" w:eastAsia="Times New Roman" w:cs="Times New Roman"/>
                <w:sz w:val="22"/>
                <w:szCs w:val="22"/>
              </w:rPr>
              <w:t>Figure 7</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E95ED53">
            <w:pPr>
              <w:jc w:val="center"/>
            </w:pPr>
            <w:r>
              <w:rPr>
                <w:rFonts w:ascii="Times New Roman" w:hAnsi="Times New Roman" w:eastAsia="Times New Roman" w:cs="Times New Roman"/>
                <w:sz w:val="22"/>
                <w:szCs w:val="22"/>
              </w:rPr>
              <w:t>Donut Chart – Energy Use vs. CO₂ Emissions per Country</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AA92E5D">
            <w:pPr>
              <w:jc w:val="center"/>
            </w:pPr>
            <w:r>
              <w:rPr>
                <w:rFonts w:ascii="Times New Roman" w:hAnsi="Times New Roman" w:eastAsia="Times New Roman" w:cs="Times New Roman"/>
                <w:sz w:val="22"/>
                <w:szCs w:val="22"/>
              </w:rPr>
              <w:t>29</w:t>
            </w:r>
          </w:p>
        </w:tc>
      </w:tr>
      <w:tr w14:paraId="5FB96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6E5B417">
            <w:pPr>
              <w:jc w:val="center"/>
            </w:pPr>
            <w:r>
              <w:rPr>
                <w:rFonts w:ascii="Times New Roman" w:hAnsi="Times New Roman" w:eastAsia="Times New Roman" w:cs="Times New Roman"/>
                <w:sz w:val="22"/>
                <w:szCs w:val="22"/>
              </w:rPr>
              <w:t>Figure 8</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1E7483F">
            <w:pPr>
              <w:jc w:val="center"/>
            </w:pPr>
            <w:r>
              <w:rPr>
                <w:rFonts w:ascii="Times New Roman" w:hAnsi="Times New Roman" w:eastAsia="Times New Roman" w:cs="Times New Roman"/>
                <w:sz w:val="22"/>
                <w:szCs w:val="22"/>
              </w:rPr>
              <w:t>Multi-Indicator Line Chart – Energy, CO₂, and Freshwater Over Time</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68BA777">
            <w:pPr>
              <w:jc w:val="center"/>
            </w:pPr>
            <w:r>
              <w:rPr>
                <w:rFonts w:ascii="Times New Roman" w:hAnsi="Times New Roman" w:eastAsia="Times New Roman" w:cs="Times New Roman"/>
                <w:sz w:val="22"/>
                <w:szCs w:val="22"/>
              </w:rPr>
              <w:t>31</w:t>
            </w:r>
          </w:p>
        </w:tc>
      </w:tr>
      <w:tr w14:paraId="59990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9F05B76">
            <w:pPr>
              <w:jc w:val="center"/>
            </w:pPr>
            <w:r>
              <w:rPr>
                <w:rFonts w:ascii="Times New Roman" w:hAnsi="Times New Roman" w:eastAsia="Times New Roman" w:cs="Times New Roman"/>
                <w:sz w:val="22"/>
                <w:szCs w:val="22"/>
              </w:rPr>
              <w:t>Figure 9</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E837AAC">
            <w:pPr>
              <w:jc w:val="center"/>
            </w:pPr>
            <w:r>
              <w:rPr>
                <w:rFonts w:ascii="Times New Roman" w:hAnsi="Times New Roman" w:eastAsia="Times New Roman" w:cs="Times New Roman"/>
                <w:sz w:val="22"/>
                <w:szCs w:val="22"/>
              </w:rPr>
              <w:t>Freshwater Consumption Trend Chart by Country and Indicator</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8B81F8A">
            <w:pPr>
              <w:jc w:val="center"/>
            </w:pPr>
            <w:r>
              <w:rPr>
                <w:rFonts w:ascii="Times New Roman" w:hAnsi="Times New Roman" w:eastAsia="Times New Roman" w:cs="Times New Roman"/>
                <w:sz w:val="22"/>
                <w:szCs w:val="22"/>
              </w:rPr>
              <w:t>35</w:t>
            </w:r>
          </w:p>
        </w:tc>
      </w:tr>
      <w:tr w14:paraId="1086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9E4FB7B">
            <w:pPr>
              <w:jc w:val="center"/>
            </w:pPr>
            <w:r>
              <w:rPr>
                <w:rFonts w:ascii="Times New Roman" w:hAnsi="Times New Roman" w:eastAsia="Times New Roman" w:cs="Times New Roman"/>
                <w:sz w:val="22"/>
                <w:szCs w:val="22"/>
              </w:rPr>
              <w:t>Figure 10</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E5AFBC4">
            <w:pPr>
              <w:jc w:val="center"/>
              <w:rPr>
                <w:rFonts w:hint="default"/>
                <w:lang w:val="en-US"/>
              </w:rPr>
            </w:pPr>
            <w:r>
              <w:rPr>
                <w:rFonts w:ascii="Times New Roman" w:hAnsi="Times New Roman" w:eastAsia="Times New Roman" w:cs="Times New Roman"/>
                <w:sz w:val="22"/>
                <w:szCs w:val="22"/>
              </w:rPr>
              <w:t xml:space="preserve">Composite Dashboard – </w:t>
            </w:r>
            <w:r>
              <w:rPr>
                <w:rFonts w:hint="default" w:cs="Times New Roman"/>
                <w:sz w:val="22"/>
                <w:szCs w:val="22"/>
                <w:lang w:val="en-US"/>
              </w:rPr>
              <w:t>Birth &amp; Death rate comparision</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14231CA">
            <w:pPr>
              <w:jc w:val="center"/>
            </w:pPr>
            <w:r>
              <w:rPr>
                <w:rFonts w:ascii="Times New Roman" w:hAnsi="Times New Roman" w:eastAsia="Times New Roman" w:cs="Times New Roman"/>
                <w:sz w:val="22"/>
                <w:szCs w:val="22"/>
              </w:rPr>
              <w:t>40</w:t>
            </w:r>
          </w:p>
        </w:tc>
      </w:tr>
    </w:tbl>
    <w:p w14:paraId="3E3778A9">
      <w:r>
        <w:br w:type="page"/>
      </w:r>
    </w:p>
    <w:p w14:paraId="55F16E3E">
      <w:pPr>
        <w:pStyle w:val="2"/>
        <w:spacing w:before="320" w:after="200"/>
      </w:pPr>
      <w:r>
        <w:rPr>
          <w:rFonts w:ascii="Times New Roman" w:hAnsi="Times New Roman" w:eastAsia="Times New Roman" w:cs="Times New Roman"/>
          <w:b/>
          <w:bCs/>
          <w:sz w:val="32"/>
          <w:szCs w:val="32"/>
        </w:rPr>
        <w:t>LIST OF TABLES</w:t>
      </w:r>
    </w:p>
    <w:p w14:paraId="1FF4B14C">
      <w:pPr>
        <w:pBdr>
          <w:bottom w:val="single" w:color="2E75B6" w:sz="4" w:space="1"/>
        </w:pBdr>
        <w:spacing w:before="100" w:after="100"/>
      </w:pPr>
    </w:p>
    <w:p w14:paraId="51FA9371"/>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25CA2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10E00F6D">
            <w:pPr>
              <w:jc w:val="center"/>
            </w:pPr>
            <w:r>
              <w:rPr>
                <w:rFonts w:ascii="Times New Roman" w:hAnsi="Times New Roman" w:eastAsia="Times New Roman" w:cs="Times New Roman"/>
                <w:b/>
                <w:bCs/>
                <w:color w:val="FFFFFF"/>
                <w:sz w:val="22"/>
                <w:szCs w:val="22"/>
              </w:rPr>
              <w:t>Table No.</w:t>
            </w:r>
          </w:p>
        </w:tc>
        <w:tc>
          <w:tcPr>
            <w:tcW w:w="3008"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3CB1C18A">
            <w:pPr>
              <w:jc w:val="center"/>
            </w:pPr>
            <w:r>
              <w:rPr>
                <w:rFonts w:ascii="Times New Roman" w:hAnsi="Times New Roman" w:eastAsia="Times New Roman" w:cs="Times New Roman"/>
                <w:b/>
                <w:bCs/>
                <w:color w:val="FFFFFF"/>
                <w:sz w:val="22"/>
                <w:szCs w:val="22"/>
              </w:rPr>
              <w:t>Table Title</w:t>
            </w:r>
          </w:p>
        </w:tc>
        <w:tc>
          <w:tcPr>
            <w:tcW w:w="3008"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1BA0AB51">
            <w:pPr>
              <w:jc w:val="center"/>
            </w:pPr>
            <w:r>
              <w:rPr>
                <w:rFonts w:ascii="Times New Roman" w:hAnsi="Times New Roman" w:eastAsia="Times New Roman" w:cs="Times New Roman"/>
                <w:b/>
                <w:bCs/>
                <w:color w:val="FFFFFF"/>
                <w:sz w:val="22"/>
                <w:szCs w:val="22"/>
              </w:rPr>
              <w:t>Page No.</w:t>
            </w:r>
          </w:p>
        </w:tc>
      </w:tr>
      <w:tr w14:paraId="75FAD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76B673C">
            <w:pPr>
              <w:jc w:val="center"/>
            </w:pPr>
            <w:r>
              <w:rPr>
                <w:rFonts w:ascii="Times New Roman" w:hAnsi="Times New Roman" w:eastAsia="Times New Roman" w:cs="Times New Roman"/>
                <w:sz w:val="22"/>
                <w:szCs w:val="22"/>
              </w:rPr>
              <w:t>Table 1</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3A31A4A">
            <w:pPr>
              <w:jc w:val="center"/>
            </w:pPr>
            <w:r>
              <w:rPr>
                <w:rFonts w:ascii="Times New Roman" w:hAnsi="Times New Roman" w:eastAsia="Times New Roman" w:cs="Times New Roman"/>
                <w:sz w:val="22"/>
                <w:szCs w:val="22"/>
              </w:rPr>
              <w:t>Summary of Dataset Attributes and Descriptions</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33772EC">
            <w:pPr>
              <w:jc w:val="center"/>
            </w:pPr>
            <w:r>
              <w:rPr>
                <w:rFonts w:ascii="Times New Roman" w:hAnsi="Times New Roman" w:eastAsia="Times New Roman" w:cs="Times New Roman"/>
                <w:sz w:val="22"/>
                <w:szCs w:val="22"/>
              </w:rPr>
              <w:t>9</w:t>
            </w:r>
          </w:p>
        </w:tc>
      </w:tr>
      <w:tr w14:paraId="5BE6D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270BC36">
            <w:pPr>
              <w:jc w:val="center"/>
            </w:pPr>
            <w:r>
              <w:rPr>
                <w:rFonts w:ascii="Times New Roman" w:hAnsi="Times New Roman" w:eastAsia="Times New Roman" w:cs="Times New Roman"/>
                <w:sz w:val="22"/>
                <w:szCs w:val="22"/>
              </w:rPr>
              <w:t>Table 2</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196737C">
            <w:pPr>
              <w:jc w:val="center"/>
            </w:pPr>
            <w:r>
              <w:rPr>
                <w:rFonts w:ascii="Times New Roman" w:hAnsi="Times New Roman" w:eastAsia="Times New Roman" w:cs="Times New Roman"/>
                <w:sz w:val="22"/>
                <w:szCs w:val="22"/>
              </w:rPr>
              <w:t>Sample Data Snapshot – Global Economic Indicators Dataset</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64B72396">
            <w:pPr>
              <w:jc w:val="center"/>
            </w:pPr>
            <w:r>
              <w:rPr>
                <w:rFonts w:ascii="Times New Roman" w:hAnsi="Times New Roman" w:eastAsia="Times New Roman" w:cs="Times New Roman"/>
                <w:sz w:val="22"/>
                <w:szCs w:val="22"/>
              </w:rPr>
              <w:t>10</w:t>
            </w:r>
          </w:p>
        </w:tc>
      </w:tr>
      <w:tr w14:paraId="1E78E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EE9DD01">
            <w:pPr>
              <w:jc w:val="center"/>
            </w:pPr>
            <w:r>
              <w:rPr>
                <w:rFonts w:ascii="Times New Roman" w:hAnsi="Times New Roman" w:eastAsia="Times New Roman" w:cs="Times New Roman"/>
                <w:sz w:val="22"/>
                <w:szCs w:val="22"/>
              </w:rPr>
              <w:t>Table 3</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6E1C8A7">
            <w:pPr>
              <w:jc w:val="center"/>
            </w:pPr>
            <w:r>
              <w:rPr>
                <w:rFonts w:ascii="Times New Roman" w:hAnsi="Times New Roman" w:eastAsia="Times New Roman" w:cs="Times New Roman"/>
                <w:sz w:val="22"/>
                <w:szCs w:val="22"/>
              </w:rPr>
              <w:t>Missing Value Analysis by Column</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CF2E148">
            <w:pPr>
              <w:jc w:val="center"/>
            </w:pPr>
            <w:r>
              <w:rPr>
                <w:rFonts w:ascii="Times New Roman" w:hAnsi="Times New Roman" w:eastAsia="Times New Roman" w:cs="Times New Roman"/>
                <w:sz w:val="22"/>
                <w:szCs w:val="22"/>
              </w:rPr>
              <w:t>13</w:t>
            </w:r>
          </w:p>
        </w:tc>
      </w:tr>
      <w:tr w14:paraId="5CE7C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D738FE9">
            <w:pPr>
              <w:jc w:val="center"/>
            </w:pPr>
            <w:r>
              <w:rPr>
                <w:rFonts w:ascii="Times New Roman" w:hAnsi="Times New Roman" w:eastAsia="Times New Roman" w:cs="Times New Roman"/>
                <w:sz w:val="22"/>
                <w:szCs w:val="22"/>
              </w:rPr>
              <w:t>Table 4</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A1D649B">
            <w:pPr>
              <w:jc w:val="center"/>
            </w:pPr>
            <w:r>
              <w:rPr>
                <w:rFonts w:ascii="Times New Roman" w:hAnsi="Times New Roman" w:eastAsia="Times New Roman" w:cs="Times New Roman"/>
                <w:sz w:val="22"/>
                <w:szCs w:val="22"/>
              </w:rPr>
              <w:t>Feature Engineering – Derived Variables and Formulas</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6D00F276">
            <w:pPr>
              <w:jc w:val="center"/>
            </w:pPr>
            <w:r>
              <w:rPr>
                <w:rFonts w:ascii="Times New Roman" w:hAnsi="Times New Roman" w:eastAsia="Times New Roman" w:cs="Times New Roman"/>
                <w:sz w:val="22"/>
                <w:szCs w:val="22"/>
              </w:rPr>
              <w:t>15</w:t>
            </w:r>
          </w:p>
        </w:tc>
      </w:tr>
      <w:tr w14:paraId="49929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C7BBBB0">
            <w:pPr>
              <w:jc w:val="center"/>
            </w:pPr>
            <w:r>
              <w:rPr>
                <w:rFonts w:ascii="Times New Roman" w:hAnsi="Times New Roman" w:eastAsia="Times New Roman" w:cs="Times New Roman"/>
                <w:sz w:val="22"/>
                <w:szCs w:val="22"/>
              </w:rPr>
              <w:t>Table 5</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1FE24A7">
            <w:pPr>
              <w:jc w:val="center"/>
            </w:pPr>
            <w:r>
              <w:rPr>
                <w:rFonts w:ascii="Times New Roman" w:hAnsi="Times New Roman" w:eastAsia="Times New Roman" w:cs="Times New Roman"/>
                <w:sz w:val="22"/>
                <w:szCs w:val="22"/>
              </w:rPr>
              <w:t>Top 10 Countries by Average GDP (2000–2020)</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D769F56">
            <w:pPr>
              <w:jc w:val="center"/>
            </w:pPr>
            <w:r>
              <w:rPr>
                <w:rFonts w:ascii="Times New Roman" w:hAnsi="Times New Roman" w:eastAsia="Times New Roman" w:cs="Times New Roman"/>
                <w:sz w:val="22"/>
                <w:szCs w:val="22"/>
              </w:rPr>
              <w:t>20</w:t>
            </w:r>
          </w:p>
        </w:tc>
      </w:tr>
      <w:tr w14:paraId="413C2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9F052FA">
            <w:pPr>
              <w:jc w:val="center"/>
            </w:pPr>
            <w:r>
              <w:rPr>
                <w:rFonts w:ascii="Times New Roman" w:hAnsi="Times New Roman" w:eastAsia="Times New Roman" w:cs="Times New Roman"/>
                <w:sz w:val="22"/>
                <w:szCs w:val="22"/>
              </w:rPr>
              <w:t>Table 6</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2AB6C2E">
            <w:pPr>
              <w:jc w:val="center"/>
            </w:pPr>
            <w:r>
              <w:rPr>
                <w:rFonts w:ascii="Times New Roman" w:hAnsi="Times New Roman" w:eastAsia="Times New Roman" w:cs="Times New Roman"/>
                <w:sz w:val="22"/>
                <w:szCs w:val="22"/>
              </w:rPr>
              <w:t>GDP Growth Rate – Year-on-Year Comparison (Selected Countries)</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45D041E">
            <w:pPr>
              <w:jc w:val="center"/>
            </w:pPr>
            <w:r>
              <w:rPr>
                <w:rFonts w:ascii="Times New Roman" w:hAnsi="Times New Roman" w:eastAsia="Times New Roman" w:cs="Times New Roman"/>
                <w:sz w:val="22"/>
                <w:szCs w:val="22"/>
              </w:rPr>
              <w:t>22</w:t>
            </w:r>
          </w:p>
        </w:tc>
      </w:tr>
      <w:tr w14:paraId="7B0EF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4F69052">
            <w:pPr>
              <w:jc w:val="center"/>
            </w:pPr>
            <w:r>
              <w:rPr>
                <w:rFonts w:ascii="Times New Roman" w:hAnsi="Times New Roman" w:eastAsia="Times New Roman" w:cs="Times New Roman"/>
                <w:sz w:val="22"/>
                <w:szCs w:val="22"/>
              </w:rPr>
              <w:t>Table 7</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7DFB4A2D">
            <w:pPr>
              <w:jc w:val="center"/>
            </w:pPr>
            <w:r>
              <w:rPr>
                <w:rFonts w:ascii="Times New Roman" w:hAnsi="Times New Roman" w:eastAsia="Times New Roman" w:cs="Times New Roman"/>
                <w:sz w:val="22"/>
                <w:szCs w:val="22"/>
              </w:rPr>
              <w:t>Population Statistics – Highest Growth Rate Countries</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A3C2CD5">
            <w:pPr>
              <w:jc w:val="center"/>
            </w:pPr>
            <w:r>
              <w:rPr>
                <w:rFonts w:ascii="Times New Roman" w:hAnsi="Times New Roman" w:eastAsia="Times New Roman" w:cs="Times New Roman"/>
                <w:sz w:val="22"/>
                <w:szCs w:val="22"/>
              </w:rPr>
              <w:t>25</w:t>
            </w:r>
          </w:p>
        </w:tc>
      </w:tr>
      <w:tr w14:paraId="54EA9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C73DC95">
            <w:pPr>
              <w:jc w:val="center"/>
            </w:pPr>
            <w:r>
              <w:rPr>
                <w:rFonts w:ascii="Times New Roman" w:hAnsi="Times New Roman" w:eastAsia="Times New Roman" w:cs="Times New Roman"/>
                <w:sz w:val="22"/>
                <w:szCs w:val="22"/>
              </w:rPr>
              <w:t>Table 8</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D9FE864">
            <w:pPr>
              <w:jc w:val="center"/>
            </w:pPr>
            <w:r>
              <w:rPr>
                <w:rFonts w:ascii="Times New Roman" w:hAnsi="Times New Roman" w:eastAsia="Times New Roman" w:cs="Times New Roman"/>
                <w:sz w:val="22"/>
                <w:szCs w:val="22"/>
              </w:rPr>
              <w:t>Energy Use per Capita – Regional Summary</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773B8CA">
            <w:pPr>
              <w:jc w:val="center"/>
            </w:pPr>
            <w:r>
              <w:rPr>
                <w:rFonts w:ascii="Times New Roman" w:hAnsi="Times New Roman" w:eastAsia="Times New Roman" w:cs="Times New Roman"/>
                <w:sz w:val="22"/>
                <w:szCs w:val="22"/>
              </w:rPr>
              <w:t>30</w:t>
            </w:r>
          </w:p>
        </w:tc>
      </w:tr>
      <w:tr w14:paraId="3319F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166DA71">
            <w:pPr>
              <w:jc w:val="center"/>
            </w:pPr>
            <w:r>
              <w:rPr>
                <w:rFonts w:ascii="Times New Roman" w:hAnsi="Times New Roman" w:eastAsia="Times New Roman" w:cs="Times New Roman"/>
                <w:sz w:val="22"/>
                <w:szCs w:val="22"/>
              </w:rPr>
              <w:t>Table 9</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2750900">
            <w:pPr>
              <w:jc w:val="center"/>
            </w:pPr>
            <w:r>
              <w:rPr>
                <w:rFonts w:ascii="Times New Roman" w:hAnsi="Times New Roman" w:eastAsia="Times New Roman" w:cs="Times New Roman"/>
                <w:sz w:val="22"/>
                <w:szCs w:val="22"/>
              </w:rPr>
              <w:t>CO₂ Emissions Ranking by Country (Average)</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D1A7D7C">
            <w:pPr>
              <w:jc w:val="center"/>
            </w:pPr>
            <w:r>
              <w:rPr>
                <w:rFonts w:ascii="Times New Roman" w:hAnsi="Times New Roman" w:eastAsia="Times New Roman" w:cs="Times New Roman"/>
                <w:sz w:val="22"/>
                <w:szCs w:val="22"/>
              </w:rPr>
              <w:t>32</w:t>
            </w:r>
          </w:p>
        </w:tc>
      </w:tr>
      <w:tr w14:paraId="24A4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7E1693F">
            <w:pPr>
              <w:jc w:val="center"/>
            </w:pPr>
            <w:r>
              <w:rPr>
                <w:rFonts w:ascii="Times New Roman" w:hAnsi="Times New Roman" w:eastAsia="Times New Roman" w:cs="Times New Roman"/>
                <w:sz w:val="22"/>
                <w:szCs w:val="22"/>
              </w:rPr>
              <w:t>Table 10</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A8E9B1D">
            <w:pPr>
              <w:jc w:val="center"/>
            </w:pPr>
            <w:r>
              <w:rPr>
                <w:rFonts w:ascii="Times New Roman" w:hAnsi="Times New Roman" w:eastAsia="Times New Roman" w:cs="Times New Roman"/>
                <w:sz w:val="22"/>
                <w:szCs w:val="22"/>
              </w:rPr>
              <w:t>Freshwater Withdrawal Statistics – Country-wise</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8658E82">
            <w:pPr>
              <w:jc w:val="center"/>
            </w:pPr>
            <w:r>
              <w:rPr>
                <w:rFonts w:ascii="Times New Roman" w:hAnsi="Times New Roman" w:eastAsia="Times New Roman" w:cs="Times New Roman"/>
                <w:sz w:val="22"/>
                <w:szCs w:val="22"/>
              </w:rPr>
              <w:t>36</w:t>
            </w:r>
          </w:p>
        </w:tc>
      </w:tr>
    </w:tbl>
    <w:p w14:paraId="0572542A">
      <w:r>
        <w:br w:type="page"/>
      </w:r>
    </w:p>
    <w:p w14:paraId="607BE805">
      <w:pPr>
        <w:pStyle w:val="2"/>
        <w:spacing w:before="320" w:after="200"/>
      </w:pPr>
      <w:r>
        <w:rPr>
          <w:rFonts w:ascii="Times New Roman" w:hAnsi="Times New Roman" w:eastAsia="Times New Roman" w:cs="Times New Roman"/>
          <w:b/>
          <w:bCs/>
          <w:sz w:val="32"/>
          <w:szCs w:val="32"/>
        </w:rPr>
        <w:t>CHAPTER 1: INTRODUCTION</w:t>
      </w:r>
    </w:p>
    <w:p w14:paraId="7268EEEF">
      <w:pPr>
        <w:pBdr>
          <w:bottom w:val="single" w:color="2E75B6" w:sz="4" w:space="1"/>
        </w:pBdr>
        <w:spacing w:before="100" w:after="100"/>
      </w:pPr>
    </w:p>
    <w:p w14:paraId="1E4E3FD9">
      <w:pPr>
        <w:pStyle w:val="3"/>
        <w:spacing w:before="280" w:after="160"/>
      </w:pPr>
      <w:r>
        <w:rPr>
          <w:rFonts w:ascii="Times New Roman" w:hAnsi="Times New Roman" w:eastAsia="Times New Roman" w:cs="Times New Roman"/>
          <w:b/>
          <w:bCs/>
          <w:sz w:val="28"/>
          <w:szCs w:val="28"/>
        </w:rPr>
        <w:t>1.1 Background of the Problem</w:t>
      </w:r>
    </w:p>
    <w:p w14:paraId="743072ED">
      <w:pPr>
        <w:spacing w:before="0" w:after="160" w:line="360" w:lineRule="auto"/>
        <w:jc w:val="both"/>
      </w:pPr>
      <w:r>
        <w:rPr>
          <w:rFonts w:ascii="Times New Roman" w:hAnsi="Times New Roman" w:eastAsia="Times New Roman" w:cs="Times New Roman"/>
          <w:b w:val="0"/>
          <w:bCs w:val="0"/>
          <w:i w:val="0"/>
          <w:iCs w:val="0"/>
          <w:sz w:val="24"/>
          <w:szCs w:val="24"/>
        </w:rPr>
        <w:t>The global economy operates as an extraordinarily complex and deeply interconnected system, within which a multitude of socioeconomic, environmental, and demographic forces continuously interact to shape the conditions of life for billions of people. Over the past four decades, the pace of globalization has accelerated dramatically, bringing with it profound transformations in how nations produce goods, consume energy, manage natural resources, and generate wealth. These transformations have created an urgent need for robust analytical frameworks that can synthesize disparate data streams and distil meaningful insights from them.</w:t>
      </w:r>
    </w:p>
    <w:p w14:paraId="2E080ACF">
      <w:pPr>
        <w:spacing w:before="0" w:after="160" w:line="360" w:lineRule="auto"/>
        <w:jc w:val="both"/>
      </w:pPr>
      <w:r>
        <w:rPr>
          <w:rFonts w:ascii="Times New Roman" w:hAnsi="Times New Roman" w:eastAsia="Times New Roman" w:cs="Times New Roman"/>
          <w:b w:val="0"/>
          <w:bCs w:val="0"/>
          <w:i w:val="0"/>
          <w:iCs w:val="0"/>
          <w:sz w:val="24"/>
          <w:szCs w:val="24"/>
        </w:rPr>
        <w:t>Among the most consequential challenges confronting the international community in the twenty-first century is the tension between economic growth and environmental sustainability. The Gross Domestic Product (GDP) of a nation, long regarded as the primary barometer of economic health, continues to drive national policy decisions and international economic rankings. However, the relentless pursuit of GDP growth has come at a steep environmental cost. Nations that have achieved the highest levels of industrial output are often also responsible for disproportionately large shares of global carbon dioxide (CO₂) emissions and energy consumption. The atmospheric accumulation of greenhouse gases, of which CO₂ constitutes the largest proportion, is the primary driver of anthropogenic climate change – a phenomenon whose consequences are already manifesting in the form of rising sea levels, extreme weather events, glacial retreat, and biodiversity loss.</w:t>
      </w:r>
    </w:p>
    <w:p w14:paraId="36438F04">
      <w:pPr>
        <w:spacing w:before="0" w:after="160" w:line="360" w:lineRule="auto"/>
        <w:jc w:val="both"/>
      </w:pPr>
      <w:r>
        <w:rPr>
          <w:rFonts w:ascii="Times New Roman" w:hAnsi="Times New Roman" w:eastAsia="Times New Roman" w:cs="Times New Roman"/>
          <w:b w:val="0"/>
          <w:bCs w:val="0"/>
          <w:i w:val="0"/>
          <w:iCs w:val="0"/>
          <w:sz w:val="24"/>
          <w:szCs w:val="24"/>
        </w:rPr>
        <w:t>Simultaneously, the global population has crossed eight billion people as of 2023, with the majority of future population growth projected to occur in developing nations across Sub-Saharan Africa and South Asia. Rapid population growth imposes escalating demands on food systems, energy infrastructure, water resources, and public health systems, further exacerbating the strain on an already stressed planetary ecosystem. Freshwater availability, in particular, represents one of the most acute and underappreciated dimensions of global resource insecurity. According to the United Nations World Water Development Report, approximately 2.3 billion people currently live in water-stressed countries, and this number is expected to rise sharply by mid-century without systemic changes to water management practices.</w:t>
      </w:r>
    </w:p>
    <w:p w14:paraId="73ED6D59">
      <w:pPr>
        <w:spacing w:before="0" w:after="160" w:line="360" w:lineRule="auto"/>
        <w:jc w:val="both"/>
      </w:pPr>
      <w:r>
        <w:rPr>
          <w:rFonts w:ascii="Times New Roman" w:hAnsi="Times New Roman" w:eastAsia="Times New Roman" w:cs="Times New Roman"/>
          <w:b w:val="0"/>
          <w:bCs w:val="0"/>
          <w:i w:val="0"/>
          <w:iCs w:val="0"/>
          <w:sz w:val="24"/>
          <w:szCs w:val="24"/>
        </w:rPr>
        <w:t>Given this backdrop of complex, interrelated global challenges, the availability of reliable, comprehensive, and longitudinal data on economic and environmental indicators has become indispensable for researchers, policymakers, international organizations, and civil society. The World Bank’s Open Data Platform has emerged as a leading repository of such information, providing standardized, cross-country datasets on hundreds of development indicators spanning multiple decades. These datasets enable comparative analysis at a level of granularity and temporal depth that was previously impossible, opening new frontiers for data-driven understanding of global trends.</w:t>
      </w:r>
    </w:p>
    <w:p w14:paraId="4B825931">
      <w:pPr>
        <w:spacing w:before="0" w:after="160" w:line="360" w:lineRule="auto"/>
        <w:jc w:val="both"/>
      </w:pPr>
      <w:r>
        <w:rPr>
          <w:rFonts w:ascii="Times New Roman" w:hAnsi="Times New Roman" w:eastAsia="Times New Roman" w:cs="Times New Roman"/>
          <w:b w:val="0"/>
          <w:bCs w:val="0"/>
          <w:i w:val="0"/>
          <w:iCs w:val="0"/>
          <w:sz w:val="24"/>
          <w:szCs w:val="24"/>
        </w:rPr>
        <w:t>Despite the availability of such rich data resources, the challenge of transforming raw data into actionable intelligence remains significant. Traditional methods of statistical analysis, while rigorous, are often inaccessible to non-specialist audiences and fail to leverage the visual and interactive capabilities afforded by modern data analytics platforms. This is where tools such as Microsoft Power BI play a transformative role. Power BI is a leading business intelligence and data visualization platform that enables users to connect to multiple data sources, clean and transform data through its Power Query engine, construct sophisticated analytical models using DAX (Data Analysis Expressions), and publish interactive dashboards that can be accessed by diverse stakeholders across organizational hierarchies.</w:t>
      </w:r>
    </w:p>
    <w:p w14:paraId="0EEAF54C">
      <w:pPr>
        <w:spacing w:before="0" w:after="160" w:line="360" w:lineRule="auto"/>
        <w:jc w:val="both"/>
      </w:pPr>
      <w:r>
        <w:rPr>
          <w:rFonts w:ascii="Times New Roman" w:hAnsi="Times New Roman" w:eastAsia="Times New Roman" w:cs="Times New Roman"/>
          <w:b w:val="0"/>
          <w:bCs w:val="0"/>
          <w:i w:val="0"/>
          <w:iCs w:val="0"/>
          <w:sz w:val="24"/>
          <w:szCs w:val="24"/>
        </w:rPr>
        <w:t>The present project situates itself at the intersection of global development economics, environmental analytics, and modern data science. By harnessing the analytical and visualization capabilities of Microsoft Power BI, this study undertakes a systematic investigation of five core economic and environmental indicators – GDP, energy use, CO₂ emissions, population growth, and freshwater consumption – across a diverse set of countries spanning more than two decades. The project aims to move beyond anecdotal narratives and surface-level comparisons to uncover the deeper structural patterns and temporal dynamics that characterize the global development landscape.</w:t>
      </w:r>
    </w:p>
    <w:p w14:paraId="3FAE7F16">
      <w:pPr>
        <w:pStyle w:val="3"/>
        <w:spacing w:before="280" w:after="160"/>
      </w:pPr>
      <w:r>
        <w:rPr>
          <w:rFonts w:ascii="Times New Roman" w:hAnsi="Times New Roman" w:eastAsia="Times New Roman" w:cs="Times New Roman"/>
          <w:b/>
          <w:bCs/>
          <w:sz w:val="28"/>
          <w:szCs w:val="28"/>
        </w:rPr>
        <w:t>1.2 Importance of the Project</w:t>
      </w:r>
    </w:p>
    <w:p w14:paraId="00CF12ED">
      <w:pPr>
        <w:spacing w:before="0" w:after="160" w:line="360" w:lineRule="auto"/>
        <w:jc w:val="both"/>
      </w:pPr>
      <w:r>
        <w:rPr>
          <w:rFonts w:ascii="Times New Roman" w:hAnsi="Times New Roman" w:eastAsia="Times New Roman" w:cs="Times New Roman"/>
          <w:b w:val="0"/>
          <w:bCs w:val="0"/>
          <w:i w:val="0"/>
          <w:iCs w:val="0"/>
          <w:sz w:val="24"/>
          <w:szCs w:val="24"/>
        </w:rPr>
        <w:t>The importance of this project can be understood along several interconnected dimensions. First and foremost, the study makes a substantive contribution to the growing discourse on sustainable development by providing an empirical foundation for understanding how different dimensions of economic and environmental performance co-evolve over time. By examining the relationships between GDP growth and environmental costs such as CO₂ emissions and energy use, the project enables a nuanced assessment of the so-called Environmental Kuznets Curve (EKC) hypothesis, which posits that environmental degradation first worsens and then improves as economies develop beyond a certain income threshold.</w:t>
      </w:r>
    </w:p>
    <w:p w14:paraId="6B0FD958">
      <w:pPr>
        <w:spacing w:before="0" w:after="160" w:line="360" w:lineRule="auto"/>
        <w:jc w:val="both"/>
      </w:pPr>
      <w:r>
        <w:rPr>
          <w:rFonts w:ascii="Times New Roman" w:hAnsi="Times New Roman" w:eastAsia="Times New Roman" w:cs="Times New Roman"/>
          <w:b w:val="0"/>
          <w:bCs w:val="0"/>
          <w:i w:val="0"/>
          <w:iCs w:val="0"/>
          <w:sz w:val="24"/>
          <w:szCs w:val="24"/>
        </w:rPr>
        <w:t>From a policy perspective, the insights generated by this analysis have direct implications for the design of evidence-based development strategies. For instance, identifying countries that have successfully decoupled economic growth from carbon emissions can provide models of best practice for nations still navigating the early stages of industrialization. Similarly, highlighting regions where per capita freshwater withdrawal is approaching critical thresholds can inform international water governance frameworks and bilateral cooperation agreements.</w:t>
      </w:r>
    </w:p>
    <w:p w14:paraId="59C6A36E">
      <w:pPr>
        <w:spacing w:before="0" w:after="160" w:line="360" w:lineRule="auto"/>
        <w:jc w:val="both"/>
      </w:pPr>
      <w:r>
        <w:rPr>
          <w:rFonts w:ascii="Times New Roman" w:hAnsi="Times New Roman" w:eastAsia="Times New Roman" w:cs="Times New Roman"/>
          <w:b w:val="0"/>
          <w:bCs w:val="0"/>
          <w:i w:val="0"/>
          <w:iCs w:val="0"/>
          <w:sz w:val="24"/>
          <w:szCs w:val="24"/>
        </w:rPr>
        <w:t>The project also holds considerable pedagogical value within the context of the Data Science curriculum at Lovely Professional University. By working with a real-world, multi-dimensional dataset sourced from an internationally recognized repository, students engage directly with the messiness and complexity of authentic data – including issues of missing values, inconsistent units of measurement, and disparate temporal coverages across countries and indicators. The process of cleaning, transforming, and modeling this data using Power BI’s Power Query and DAX functionalities provides practical, hands-on experience with industry-standard tools and workflows.</w:t>
      </w:r>
    </w:p>
    <w:p w14:paraId="2192EAC0">
      <w:pPr>
        <w:spacing w:before="0" w:after="160" w:line="360" w:lineRule="auto"/>
        <w:jc w:val="both"/>
      </w:pPr>
      <w:r>
        <w:rPr>
          <w:rFonts w:ascii="Times New Roman" w:hAnsi="Times New Roman" w:eastAsia="Times New Roman" w:cs="Times New Roman"/>
          <w:b w:val="0"/>
          <w:bCs w:val="0"/>
          <w:i w:val="0"/>
          <w:iCs w:val="0"/>
          <w:sz w:val="24"/>
          <w:szCs w:val="24"/>
        </w:rPr>
        <w:t>Furthermore, the interactive dashboard developed as part of this project demonstrates the power of data visualization to communicate complex analytical findings to a broad audience. The ability to present multi-dimensional data through intuitive visual formats – including line charts, donut charts, card visuals, and interactive geographic maps – is a critical competency for modern data scientists and analysts, who must bridge the gap between technical rigor and communicative clarity.</w:t>
      </w:r>
    </w:p>
    <w:p w14:paraId="57538F99">
      <w:pPr>
        <w:pStyle w:val="3"/>
        <w:spacing w:before="280" w:after="160"/>
      </w:pPr>
      <w:r>
        <w:rPr>
          <w:rFonts w:ascii="Times New Roman" w:hAnsi="Times New Roman" w:eastAsia="Times New Roman" w:cs="Times New Roman"/>
          <w:b/>
          <w:bCs/>
          <w:sz w:val="28"/>
          <w:szCs w:val="28"/>
        </w:rPr>
        <w:t>1.3 Objectives of the Project</w:t>
      </w:r>
    </w:p>
    <w:p w14:paraId="4CC41736">
      <w:pPr>
        <w:spacing w:before="0" w:after="160" w:line="360" w:lineRule="auto"/>
        <w:jc w:val="both"/>
      </w:pPr>
      <w:r>
        <w:rPr>
          <w:rFonts w:ascii="Times New Roman" w:hAnsi="Times New Roman" w:eastAsia="Times New Roman" w:cs="Times New Roman"/>
          <w:b w:val="0"/>
          <w:bCs w:val="0"/>
          <w:i w:val="0"/>
          <w:iCs w:val="0"/>
          <w:sz w:val="24"/>
          <w:szCs w:val="24"/>
        </w:rPr>
        <w:t>The study is guided by the following clearly defined research objectives:</w:t>
      </w:r>
    </w:p>
    <w:p w14:paraId="16B4CEC4">
      <w:pPr>
        <w:pStyle w:val="16"/>
        <w:numPr>
          <w:ilvl w:val="0"/>
          <w:numId w:val="1"/>
        </w:numPr>
        <w:spacing w:after="120" w:line="360" w:lineRule="auto"/>
      </w:pPr>
      <w:r>
        <w:rPr>
          <w:rFonts w:ascii="Times New Roman" w:hAnsi="Times New Roman" w:eastAsia="Times New Roman" w:cs="Times New Roman"/>
          <w:sz w:val="24"/>
          <w:szCs w:val="24"/>
        </w:rPr>
        <w:t>Objective 1 – GDP Trend Analysis: To analyze the longitudinal trends in Gross Domestic Product (GDP) across a selected cohort of countries over a period spanning from 1990 to 2020, with a view to identifying patterns of sustained growth, stagnation, recession, and economic recovery.</w:t>
      </w:r>
    </w:p>
    <w:p w14:paraId="2744AA1F">
      <w:pPr>
        <w:pStyle w:val="16"/>
        <w:numPr>
          <w:ilvl w:val="0"/>
          <w:numId w:val="1"/>
        </w:numPr>
        <w:spacing w:after="120" w:line="360" w:lineRule="auto"/>
      </w:pPr>
      <w:r>
        <w:rPr>
          <w:rFonts w:ascii="Times New Roman" w:hAnsi="Times New Roman" w:eastAsia="Times New Roman" w:cs="Times New Roman"/>
          <w:sz w:val="24"/>
          <w:szCs w:val="24"/>
        </w:rPr>
        <w:t>Objective 2 – Population Growth Dynamics: To examine the trajectories of population growth across countries and identify demographic patterns that may correlate with economic development levels, geographic region, or natural resource endowments.</w:t>
      </w:r>
    </w:p>
    <w:p w14:paraId="6868C356">
      <w:pPr>
        <w:pStyle w:val="16"/>
        <w:numPr>
          <w:ilvl w:val="0"/>
          <w:numId w:val="1"/>
        </w:numPr>
        <w:spacing w:after="120" w:line="360" w:lineRule="auto"/>
      </w:pPr>
      <w:r>
        <w:rPr>
          <w:rFonts w:ascii="Times New Roman" w:hAnsi="Times New Roman" w:eastAsia="Times New Roman" w:cs="Times New Roman"/>
          <w:sz w:val="24"/>
          <w:szCs w:val="24"/>
        </w:rPr>
        <w:t>Objective 3 – Energy Use and CO₂ Emissions Analysis: To investigate the per capita energy consumption patterns of countries and their relationship to carbon dioxide emissions, with the goal of identifying high-emission economies and assessing progress toward decarbonization.</w:t>
      </w:r>
    </w:p>
    <w:p w14:paraId="3CE679AF">
      <w:pPr>
        <w:pStyle w:val="16"/>
        <w:numPr>
          <w:ilvl w:val="0"/>
          <w:numId w:val="1"/>
        </w:numPr>
        <w:spacing w:after="120" w:line="360" w:lineRule="auto"/>
      </w:pPr>
      <w:r>
        <w:rPr>
          <w:rFonts w:ascii="Times New Roman" w:hAnsi="Times New Roman" w:eastAsia="Times New Roman" w:cs="Times New Roman"/>
          <w:sz w:val="24"/>
          <w:szCs w:val="24"/>
        </w:rPr>
        <w:t>Objective 4 – Freshwater Consumption Patterns: To evaluate national and regional patterns in freshwater withdrawal and consumption, identifying countries at risk of water scarcity and examining temporal trends in water resource management efficiency.</w:t>
      </w:r>
    </w:p>
    <w:p w14:paraId="523081AB">
      <w:pPr>
        <w:pStyle w:val="16"/>
        <w:numPr>
          <w:ilvl w:val="0"/>
          <w:numId w:val="1"/>
        </w:numPr>
        <w:spacing w:after="120" w:line="360" w:lineRule="auto"/>
      </w:pPr>
      <w:r>
        <w:rPr>
          <w:rFonts w:ascii="Times New Roman" w:hAnsi="Times New Roman" w:eastAsia="Times New Roman" w:cs="Times New Roman"/>
          <w:sz w:val="24"/>
          <w:szCs w:val="24"/>
        </w:rPr>
        <w:t>Objective 5 – Composite Dashboard and Integrated Insights: To synthesize findings across all five indicator domains into a cohesive, interactive Power BI dashboard that enables dynamic, user-driven exploration of the data, and to derive integrated insights about the interrelationships among the studied variables.</w:t>
      </w:r>
    </w:p>
    <w:p w14:paraId="33152434"/>
    <w:p w14:paraId="260993F9">
      <w:pPr>
        <w:spacing w:before="0" w:after="160" w:line="360" w:lineRule="auto"/>
        <w:jc w:val="both"/>
      </w:pPr>
      <w:r>
        <w:rPr>
          <w:rFonts w:ascii="Times New Roman" w:hAnsi="Times New Roman" w:eastAsia="Times New Roman" w:cs="Times New Roman"/>
          <w:b w:val="0"/>
          <w:bCs w:val="0"/>
          <w:i w:val="0"/>
          <w:iCs w:val="0"/>
          <w:sz w:val="24"/>
          <w:szCs w:val="24"/>
        </w:rPr>
        <w:t>Collectively, these objectives are designed to provide a holistic, multi-dimensional portrait of global development trends over the past three decades. The study does not merely describe what has occurred but seeks to explain why it has occurred and what these trends imply for the future trajectory of global development. The analytical framework employed is explicitly comparative and longitudinal, enabling the identification of both convergence and divergence across country and regional clusters.</w:t>
      </w:r>
    </w:p>
    <w:p w14:paraId="3CDC515B">
      <w:r>
        <w:br w:type="page"/>
      </w:r>
    </w:p>
    <w:p w14:paraId="118E99B1">
      <w:pPr>
        <w:pStyle w:val="2"/>
        <w:spacing w:before="320" w:after="200"/>
      </w:pPr>
      <w:r>
        <w:rPr>
          <w:rFonts w:ascii="Times New Roman" w:hAnsi="Times New Roman" w:eastAsia="Times New Roman" w:cs="Times New Roman"/>
          <w:b/>
          <w:bCs/>
          <w:sz w:val="32"/>
          <w:szCs w:val="32"/>
        </w:rPr>
        <w:t>CHAPTER 2: SOURCE OF DATASET</w:t>
      </w:r>
    </w:p>
    <w:p w14:paraId="736B6E50">
      <w:pPr>
        <w:pBdr>
          <w:bottom w:val="single" w:color="2E75B6" w:sz="4" w:space="1"/>
        </w:pBdr>
        <w:spacing w:before="100" w:after="100"/>
      </w:pPr>
    </w:p>
    <w:p w14:paraId="19E2994E">
      <w:pPr>
        <w:pStyle w:val="3"/>
        <w:spacing w:before="280" w:after="160"/>
      </w:pPr>
      <w:r>
        <w:rPr>
          <w:rFonts w:ascii="Times New Roman" w:hAnsi="Times New Roman" w:eastAsia="Times New Roman" w:cs="Times New Roman"/>
          <w:b/>
          <w:bCs/>
          <w:sz w:val="28"/>
          <w:szCs w:val="28"/>
        </w:rPr>
        <w:t>2.1 Dataset Origin</w:t>
      </w:r>
    </w:p>
    <w:p w14:paraId="4FEBA2E2">
      <w:pPr>
        <w:spacing w:before="0" w:after="160" w:line="360" w:lineRule="auto"/>
        <w:jc w:val="both"/>
      </w:pPr>
      <w:r>
        <w:rPr>
          <w:rFonts w:ascii="Times New Roman" w:hAnsi="Times New Roman" w:eastAsia="Times New Roman" w:cs="Times New Roman"/>
          <w:b w:val="0"/>
          <w:bCs w:val="0"/>
          <w:i w:val="0"/>
          <w:iCs w:val="0"/>
          <w:sz w:val="24"/>
          <w:szCs w:val="24"/>
        </w:rPr>
        <w:t>The dataset utilized in this project is derived primarily from the World Bank Open Data Platform, one of the most comprehensive and authoritative repositories of global development statistics available in the public domain. The World Bank collects, validates, and disseminates data on hundreds of development indicators for over 200 countries and territories, drawing upon national statistical agencies, international reporting frameworks, and its own field research operations. The data covers a wide temporal range, with many series extending back to the early 1960s, thereby enabling genuinely longitudinal analysis of long-run development trends.</w:t>
      </w:r>
    </w:p>
    <w:p w14:paraId="1A6F0107">
      <w:pPr>
        <w:spacing w:before="0" w:after="160" w:line="360" w:lineRule="auto"/>
        <w:jc w:val="both"/>
      </w:pPr>
      <w:r>
        <w:rPr>
          <w:rFonts w:ascii="Times New Roman" w:hAnsi="Times New Roman" w:eastAsia="Times New Roman" w:cs="Times New Roman"/>
          <w:b w:val="0"/>
          <w:bCs w:val="0"/>
          <w:i w:val="0"/>
          <w:iCs w:val="0"/>
          <w:sz w:val="24"/>
          <w:szCs w:val="24"/>
        </w:rPr>
        <w:t>Specifically, the dataset employed in this study corresponds to the World Bank's World Development Indicators (WDI) collection, which aggregates data from multiple thematic domains including macroeconomics, infrastructure, social development, environmental sustainability, and public health. The WDI is updated annually and represents the gold standard for cross-country development data in academic research and policy analysis. The version used in this project covers the period from 1990 to 2020, capturing three decades of structural transformation in the global economy.</w:t>
      </w:r>
    </w:p>
    <w:p w14:paraId="0D09CD59">
      <w:pPr>
        <w:spacing w:before="0" w:after="160" w:line="360" w:lineRule="auto"/>
        <w:jc w:val="both"/>
      </w:pPr>
      <w:r>
        <w:rPr>
          <w:rFonts w:ascii="Times New Roman" w:hAnsi="Times New Roman" w:eastAsia="Times New Roman" w:cs="Times New Roman"/>
          <w:b w:val="0"/>
          <w:bCs w:val="0"/>
          <w:i w:val="0"/>
          <w:iCs w:val="0"/>
          <w:sz w:val="24"/>
          <w:szCs w:val="24"/>
        </w:rPr>
        <w:t>For the purposes of this academic project, the raw data was obtained in CSV format from the Kaggle open data repository, where preprocessed and cleaned extracts of the World Bank WDI are made available by the data science community. The specific dataset file used in this project is denoted as "Append1" within the Power BI data model, reflecting the fact that it was assembled by appending multiple country-year observation files into a single consolidated table. This approach is consistent with standard practices in panel data analysis, where observations are indexed along both country and time dimensions.</w:t>
      </w:r>
    </w:p>
    <w:p w14:paraId="364BBCB6">
      <w:pPr>
        <w:spacing w:before="0" w:after="160" w:line="360" w:lineRule="auto"/>
        <w:jc w:val="both"/>
      </w:pPr>
      <w:r>
        <w:rPr>
          <w:rFonts w:ascii="Times New Roman" w:hAnsi="Times New Roman" w:eastAsia="Times New Roman" w:cs="Times New Roman"/>
          <w:b w:val="0"/>
          <w:bCs w:val="0"/>
          <w:i w:val="0"/>
          <w:iCs w:val="0"/>
          <w:sz w:val="24"/>
          <w:szCs w:val="24"/>
        </w:rPr>
        <w:t>Supplementary geographic reference data for the interactive map visualization was sourced from the built-in geographic intelligence capabilities of the MapBySquillion custom visual integrated into the Power BI report. This visual leverages geocoding services to map country-level data onto a world map canvas without requiring the analyst to provide explicit latitude-longitude coordinates.</w:t>
      </w:r>
    </w:p>
    <w:p w14:paraId="4E57C512">
      <w:pPr>
        <w:pStyle w:val="3"/>
        <w:spacing w:before="280" w:after="160"/>
      </w:pPr>
      <w:r>
        <w:rPr>
          <w:rFonts w:ascii="Times New Roman" w:hAnsi="Times New Roman" w:eastAsia="Times New Roman" w:cs="Times New Roman"/>
          <w:b/>
          <w:bCs/>
          <w:sz w:val="28"/>
          <w:szCs w:val="28"/>
        </w:rPr>
        <w:t>2.2 Description of the Dataset</w:t>
      </w:r>
    </w:p>
    <w:p w14:paraId="0ACB4E1A">
      <w:pPr>
        <w:spacing w:before="0" w:after="160" w:line="360" w:lineRule="auto"/>
        <w:jc w:val="both"/>
      </w:pPr>
      <w:r>
        <w:rPr>
          <w:rFonts w:ascii="Times New Roman" w:hAnsi="Times New Roman" w:eastAsia="Times New Roman" w:cs="Times New Roman"/>
          <w:b w:val="0"/>
          <w:bCs w:val="0"/>
          <w:i w:val="0"/>
          <w:iCs w:val="0"/>
          <w:sz w:val="24"/>
          <w:szCs w:val="24"/>
        </w:rPr>
        <w:t>The consolidated dataset used in this project is a panel dataset, meaning it contains repeated observations of the same variables for multiple cross-sectional units (countries) across multiple time periods (years). This data structure is particularly well-suited to the objectives of this study, as it enables both cross-sectional comparisons (between countries at a given point in time) and time-series analysis (within a given country over time).</w:t>
      </w:r>
    </w:p>
    <w:p w14:paraId="7F3CF232">
      <w:pPr>
        <w:spacing w:before="0" w:after="160" w:line="360" w:lineRule="auto"/>
        <w:jc w:val="both"/>
      </w:pPr>
      <w:r>
        <w:rPr>
          <w:rFonts w:ascii="Times New Roman" w:hAnsi="Times New Roman" w:eastAsia="Times New Roman" w:cs="Times New Roman"/>
          <w:b w:val="0"/>
          <w:bCs w:val="0"/>
          <w:i w:val="0"/>
          <w:iCs w:val="0"/>
          <w:sz w:val="24"/>
          <w:szCs w:val="24"/>
        </w:rPr>
        <w:t>The dataset encompasses observations from approximately 195 countries across all geographic regions of the world, spanning the years 1990 through 2020. This yields a theoretically possible total of 195 × 31 = 6,045 country-year observations per indicator, although the actual number of available observations is somewhat lower due to data gaps in the early years of the sample period and the absence of reporting by some smaller or conflict-affected states. The dataset contains five primary indicator variables, in addition to the core identification variables (country name and year), yielding a total of seven columns in its final processed form.</w:t>
      </w:r>
    </w:p>
    <w:p w14:paraId="27C41F26">
      <w:pPr>
        <w:spacing w:before="0" w:after="160" w:line="360" w:lineRule="auto"/>
        <w:jc w:val="both"/>
      </w:pPr>
      <w:r>
        <w:rPr>
          <w:rFonts w:ascii="Times New Roman" w:hAnsi="Times New Roman" w:eastAsia="Times New Roman" w:cs="Times New Roman"/>
          <w:b w:val="0"/>
          <w:bCs w:val="0"/>
          <w:i w:val="0"/>
          <w:iCs w:val="0"/>
          <w:sz w:val="24"/>
          <w:szCs w:val="24"/>
        </w:rPr>
        <w:t>In terms of scale, the GDP variable is denominated in current US dollars and exhibits values ranging from several hundred million dollars for the smallest economies to over twenty trillion dollars for the largest (the United States). Energy use is measured in kilograms of oil equivalent per capita, reflecting the amount of primary energy consumed per person per year. CO₂ emissions are expressed in metric tonnes per capita. Population figures are given as absolute counts. Freshwater withdrawal data is expressed as a percentage of total internal renewable freshwater resources, providing a normalized measure of water stress that is comparable across countries of different sizes.</w:t>
      </w:r>
    </w:p>
    <w:p w14:paraId="29B694A3"/>
    <w:p w14:paraId="1B134A61">
      <w:pPr>
        <w:spacing w:before="80" w:after="80"/>
        <w:jc w:val="center"/>
      </w:pPr>
      <w:r>
        <w:rPr>
          <w:rFonts w:ascii="Times New Roman" w:hAnsi="Times New Roman" w:eastAsia="Times New Roman" w:cs="Times New Roman"/>
          <w:b/>
          <w:bCs/>
          <w:sz w:val="22"/>
          <w:szCs w:val="22"/>
        </w:rPr>
        <w:t>Table 1: Summary of Dataset Attributes and Descriptions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7"/>
        <w:gridCol w:w="2209"/>
        <w:gridCol w:w="2222"/>
        <w:gridCol w:w="2388"/>
      </w:tblGrid>
      <w:tr w14:paraId="54D0C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00B71658">
            <w:pPr>
              <w:jc w:val="center"/>
            </w:pPr>
            <w:r>
              <w:rPr>
                <w:rFonts w:ascii="Times New Roman" w:hAnsi="Times New Roman" w:eastAsia="Times New Roman" w:cs="Times New Roman"/>
                <w:b/>
                <w:bCs/>
                <w:color w:val="FFFFFF"/>
                <w:sz w:val="22"/>
                <w:szCs w:val="22"/>
              </w:rPr>
              <w:t>Column Name</w:t>
            </w:r>
          </w:p>
        </w:tc>
        <w:tc>
          <w:tcPr>
            <w:tcW w:w="2256"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04F84AF1">
            <w:pPr>
              <w:jc w:val="center"/>
            </w:pPr>
            <w:r>
              <w:rPr>
                <w:rFonts w:ascii="Times New Roman" w:hAnsi="Times New Roman" w:eastAsia="Times New Roman" w:cs="Times New Roman"/>
                <w:b/>
                <w:bCs/>
                <w:color w:val="FFFFFF"/>
                <w:sz w:val="22"/>
                <w:szCs w:val="22"/>
              </w:rPr>
              <w:t>Data Type</w:t>
            </w:r>
          </w:p>
        </w:tc>
        <w:tc>
          <w:tcPr>
            <w:tcW w:w="2256"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53D691D3">
            <w:pPr>
              <w:jc w:val="center"/>
            </w:pPr>
            <w:r>
              <w:rPr>
                <w:rFonts w:ascii="Times New Roman" w:hAnsi="Times New Roman" w:eastAsia="Times New Roman" w:cs="Times New Roman"/>
                <w:b/>
                <w:bCs/>
                <w:color w:val="FFFFFF"/>
                <w:sz w:val="22"/>
                <w:szCs w:val="22"/>
              </w:rPr>
              <w:t>Unit of Measurement</w:t>
            </w:r>
          </w:p>
        </w:tc>
        <w:tc>
          <w:tcPr>
            <w:tcW w:w="2256"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13D6D291">
            <w:pPr>
              <w:jc w:val="center"/>
            </w:pPr>
            <w:r>
              <w:rPr>
                <w:rFonts w:ascii="Times New Roman" w:hAnsi="Times New Roman" w:eastAsia="Times New Roman" w:cs="Times New Roman"/>
                <w:b/>
                <w:bCs/>
                <w:color w:val="FFFFFF"/>
                <w:sz w:val="22"/>
                <w:szCs w:val="22"/>
              </w:rPr>
              <w:t>Description</w:t>
            </w:r>
          </w:p>
        </w:tc>
      </w:tr>
      <w:tr w14:paraId="77A31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CB3B0C2">
            <w:pPr>
              <w:jc w:val="center"/>
            </w:pPr>
            <w:r>
              <w:rPr>
                <w:rFonts w:ascii="Times New Roman" w:hAnsi="Times New Roman" w:eastAsia="Times New Roman" w:cs="Times New Roman"/>
                <w:sz w:val="22"/>
                <w:szCs w:val="22"/>
              </w:rPr>
              <w:t>Country</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68B6EB8">
            <w:pPr>
              <w:jc w:val="center"/>
            </w:pPr>
            <w:r>
              <w:rPr>
                <w:rFonts w:ascii="Times New Roman" w:hAnsi="Times New Roman" w:eastAsia="Times New Roman" w:cs="Times New Roman"/>
                <w:sz w:val="22"/>
                <w:szCs w:val="22"/>
              </w:rPr>
              <w:t>Text / Categorical</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AD2CBFC">
            <w:pPr>
              <w:jc w:val="center"/>
            </w:pPr>
            <w:r>
              <w:rPr>
                <w:rFonts w:ascii="Times New Roman" w:hAnsi="Times New Roman" w:eastAsia="Times New Roman" w:cs="Times New Roman"/>
                <w:sz w:val="22"/>
                <w:szCs w:val="22"/>
              </w:rPr>
              <w:t>N/A</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19E673E">
            <w:pPr>
              <w:jc w:val="center"/>
            </w:pPr>
            <w:r>
              <w:rPr>
                <w:rFonts w:ascii="Times New Roman" w:hAnsi="Times New Roman" w:eastAsia="Times New Roman" w:cs="Times New Roman"/>
                <w:sz w:val="22"/>
                <w:szCs w:val="22"/>
              </w:rPr>
              <w:t>Name of the country or territory</w:t>
            </w:r>
          </w:p>
        </w:tc>
      </w:tr>
      <w:tr w14:paraId="55038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FD33D8E">
            <w:pPr>
              <w:jc w:val="center"/>
            </w:pPr>
            <w:r>
              <w:rPr>
                <w:rFonts w:ascii="Times New Roman" w:hAnsi="Times New Roman" w:eastAsia="Times New Roman" w:cs="Times New Roman"/>
                <w:sz w:val="22"/>
                <w:szCs w:val="22"/>
              </w:rPr>
              <w:t>Year</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F39F644">
            <w:pPr>
              <w:jc w:val="center"/>
            </w:pPr>
            <w:r>
              <w:rPr>
                <w:rFonts w:ascii="Times New Roman" w:hAnsi="Times New Roman" w:eastAsia="Times New Roman" w:cs="Times New Roman"/>
                <w:sz w:val="22"/>
                <w:szCs w:val="22"/>
              </w:rPr>
              <w:t>Integer / Date</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E5CEFF6">
            <w:pPr>
              <w:jc w:val="center"/>
            </w:pPr>
            <w:r>
              <w:rPr>
                <w:rFonts w:ascii="Times New Roman" w:hAnsi="Times New Roman" w:eastAsia="Times New Roman" w:cs="Times New Roman"/>
                <w:sz w:val="22"/>
                <w:szCs w:val="22"/>
              </w:rPr>
              <w:t>Calendar Year</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0DA2AF22">
            <w:pPr>
              <w:jc w:val="center"/>
            </w:pPr>
            <w:r>
              <w:rPr>
                <w:rFonts w:ascii="Times New Roman" w:hAnsi="Times New Roman" w:eastAsia="Times New Roman" w:cs="Times New Roman"/>
                <w:sz w:val="22"/>
                <w:szCs w:val="22"/>
              </w:rPr>
              <w:t>Year of observation (1990–2020)</w:t>
            </w:r>
          </w:p>
        </w:tc>
      </w:tr>
      <w:tr w14:paraId="21276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CB49A1A">
            <w:pPr>
              <w:jc w:val="center"/>
            </w:pPr>
            <w:r>
              <w:rPr>
                <w:rFonts w:ascii="Times New Roman" w:hAnsi="Times New Roman" w:eastAsia="Times New Roman" w:cs="Times New Roman"/>
                <w:sz w:val="22"/>
                <w:szCs w:val="22"/>
              </w:rPr>
              <w:t>Indicator</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7A93FE1">
            <w:pPr>
              <w:jc w:val="center"/>
            </w:pPr>
            <w:r>
              <w:rPr>
                <w:rFonts w:ascii="Times New Roman" w:hAnsi="Times New Roman" w:eastAsia="Times New Roman" w:cs="Times New Roman"/>
                <w:sz w:val="22"/>
                <w:szCs w:val="22"/>
              </w:rPr>
              <w:t>Text / Categorical</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79868164">
            <w:pPr>
              <w:jc w:val="center"/>
            </w:pPr>
            <w:r>
              <w:rPr>
                <w:rFonts w:ascii="Times New Roman" w:hAnsi="Times New Roman" w:eastAsia="Times New Roman" w:cs="Times New Roman"/>
                <w:sz w:val="22"/>
                <w:szCs w:val="22"/>
              </w:rPr>
              <w:t>N/A</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92C60C4">
            <w:pPr>
              <w:jc w:val="center"/>
            </w:pPr>
            <w:r>
              <w:rPr>
                <w:rFonts w:ascii="Times New Roman" w:hAnsi="Times New Roman" w:eastAsia="Times New Roman" w:cs="Times New Roman"/>
                <w:sz w:val="22"/>
                <w:szCs w:val="22"/>
              </w:rPr>
              <w:t>Name of the economic/environmental indicator</w:t>
            </w:r>
          </w:p>
        </w:tc>
      </w:tr>
      <w:tr w14:paraId="7CDED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69A4CD1C">
            <w:pPr>
              <w:jc w:val="center"/>
            </w:pPr>
            <w:r>
              <w:rPr>
                <w:rFonts w:ascii="Times New Roman" w:hAnsi="Times New Roman" w:eastAsia="Times New Roman" w:cs="Times New Roman"/>
                <w:sz w:val="22"/>
                <w:szCs w:val="22"/>
              </w:rPr>
              <w:t>Value</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98466AA">
            <w:pPr>
              <w:jc w:val="center"/>
            </w:pPr>
            <w:r>
              <w:rPr>
                <w:rFonts w:ascii="Times New Roman" w:hAnsi="Times New Roman" w:eastAsia="Times New Roman" w:cs="Times New Roman"/>
                <w:sz w:val="22"/>
                <w:szCs w:val="22"/>
              </w:rPr>
              <w:t>Decimal Number</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6987D7F">
            <w:pPr>
              <w:jc w:val="center"/>
            </w:pPr>
            <w:r>
              <w:rPr>
                <w:rFonts w:ascii="Times New Roman" w:hAnsi="Times New Roman" w:eastAsia="Times New Roman" w:cs="Times New Roman"/>
                <w:sz w:val="22"/>
                <w:szCs w:val="22"/>
              </w:rPr>
              <w:t>Variable (see below)</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5973123">
            <w:pPr>
              <w:jc w:val="center"/>
            </w:pPr>
            <w:r>
              <w:rPr>
                <w:rFonts w:ascii="Times New Roman" w:hAnsi="Times New Roman" w:eastAsia="Times New Roman" w:cs="Times New Roman"/>
                <w:sz w:val="22"/>
                <w:szCs w:val="22"/>
              </w:rPr>
              <w:t>Numeric value of the indicator for that country-year</w:t>
            </w:r>
          </w:p>
        </w:tc>
      </w:tr>
      <w:tr w14:paraId="7E9A8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F1CFD17">
            <w:pPr>
              <w:jc w:val="center"/>
            </w:pPr>
            <w:r>
              <w:rPr>
                <w:rFonts w:ascii="Times New Roman" w:hAnsi="Times New Roman" w:eastAsia="Times New Roman" w:cs="Times New Roman"/>
                <w:sz w:val="22"/>
                <w:szCs w:val="22"/>
              </w:rPr>
              <w:t>GDP</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33CD186">
            <w:pPr>
              <w:jc w:val="center"/>
            </w:pPr>
            <w:r>
              <w:rPr>
                <w:rFonts w:ascii="Times New Roman" w:hAnsi="Times New Roman" w:eastAsia="Times New Roman" w:cs="Times New Roman"/>
                <w:sz w:val="22"/>
                <w:szCs w:val="22"/>
              </w:rPr>
              <w:t>Decimal Number</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3EA9E5F">
            <w:pPr>
              <w:jc w:val="center"/>
            </w:pPr>
            <w:r>
              <w:rPr>
                <w:rFonts w:ascii="Times New Roman" w:hAnsi="Times New Roman" w:eastAsia="Times New Roman" w:cs="Times New Roman"/>
                <w:sz w:val="22"/>
                <w:szCs w:val="22"/>
              </w:rPr>
              <w:t>Current USD</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97CE9DF">
            <w:pPr>
              <w:jc w:val="center"/>
            </w:pPr>
            <w:r>
              <w:rPr>
                <w:rFonts w:ascii="Times New Roman" w:hAnsi="Times New Roman" w:eastAsia="Times New Roman" w:cs="Times New Roman"/>
                <w:sz w:val="22"/>
                <w:szCs w:val="22"/>
              </w:rPr>
              <w:t>Gross Domestic Product in current US Dollars</w:t>
            </w:r>
          </w:p>
        </w:tc>
      </w:tr>
      <w:tr w14:paraId="3A406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A9D51DC">
            <w:pPr>
              <w:jc w:val="center"/>
            </w:pPr>
            <w:r>
              <w:rPr>
                <w:rFonts w:ascii="Times New Roman" w:hAnsi="Times New Roman" w:eastAsia="Times New Roman" w:cs="Times New Roman"/>
                <w:sz w:val="22"/>
                <w:szCs w:val="22"/>
              </w:rPr>
              <w:t>Energy Use</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422B634">
            <w:pPr>
              <w:jc w:val="center"/>
            </w:pPr>
            <w:r>
              <w:rPr>
                <w:rFonts w:ascii="Times New Roman" w:hAnsi="Times New Roman" w:eastAsia="Times New Roman" w:cs="Times New Roman"/>
                <w:sz w:val="22"/>
                <w:szCs w:val="22"/>
              </w:rPr>
              <w:t>Decimal Number</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624180F">
            <w:pPr>
              <w:jc w:val="center"/>
            </w:pPr>
            <w:r>
              <w:rPr>
                <w:rFonts w:ascii="Times New Roman" w:hAnsi="Times New Roman" w:eastAsia="Times New Roman" w:cs="Times New Roman"/>
                <w:sz w:val="22"/>
                <w:szCs w:val="22"/>
              </w:rPr>
              <w:t>kg of oil equivalent per capita</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69374A9">
            <w:pPr>
              <w:jc w:val="center"/>
            </w:pPr>
            <w:r>
              <w:rPr>
                <w:rFonts w:ascii="Times New Roman" w:hAnsi="Times New Roman" w:eastAsia="Times New Roman" w:cs="Times New Roman"/>
                <w:sz w:val="22"/>
                <w:szCs w:val="22"/>
              </w:rPr>
              <w:t>Primary energy consumption per capita</w:t>
            </w:r>
          </w:p>
        </w:tc>
      </w:tr>
      <w:tr w14:paraId="2370D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33FC068">
            <w:pPr>
              <w:jc w:val="center"/>
            </w:pPr>
            <w:r>
              <w:rPr>
                <w:rFonts w:ascii="Times New Roman" w:hAnsi="Times New Roman" w:eastAsia="Times New Roman" w:cs="Times New Roman"/>
                <w:sz w:val="22"/>
                <w:szCs w:val="22"/>
              </w:rPr>
              <w:t>CO2 Emissions</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54D6CD9">
            <w:pPr>
              <w:jc w:val="center"/>
            </w:pPr>
            <w:r>
              <w:rPr>
                <w:rFonts w:ascii="Times New Roman" w:hAnsi="Times New Roman" w:eastAsia="Times New Roman" w:cs="Times New Roman"/>
                <w:sz w:val="22"/>
                <w:szCs w:val="22"/>
              </w:rPr>
              <w:t>Decimal Number</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7699B59">
            <w:pPr>
              <w:jc w:val="center"/>
            </w:pPr>
            <w:r>
              <w:rPr>
                <w:rFonts w:ascii="Times New Roman" w:hAnsi="Times New Roman" w:eastAsia="Times New Roman" w:cs="Times New Roman"/>
                <w:sz w:val="22"/>
                <w:szCs w:val="22"/>
              </w:rPr>
              <w:t>Metric tonnes per capita</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D4A0997">
            <w:pPr>
              <w:jc w:val="center"/>
            </w:pPr>
            <w:r>
              <w:rPr>
                <w:rFonts w:ascii="Times New Roman" w:hAnsi="Times New Roman" w:eastAsia="Times New Roman" w:cs="Times New Roman"/>
                <w:sz w:val="22"/>
                <w:szCs w:val="22"/>
              </w:rPr>
              <w:t>Carbon dioxide emissions per capita</w:t>
            </w:r>
          </w:p>
        </w:tc>
      </w:tr>
      <w:tr w14:paraId="36666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0C25BED2">
            <w:pPr>
              <w:jc w:val="center"/>
            </w:pPr>
            <w:r>
              <w:rPr>
                <w:rFonts w:ascii="Times New Roman" w:hAnsi="Times New Roman" w:eastAsia="Times New Roman" w:cs="Times New Roman"/>
                <w:sz w:val="22"/>
                <w:szCs w:val="22"/>
              </w:rPr>
              <w:t>Population</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C914BC2">
            <w:pPr>
              <w:jc w:val="center"/>
            </w:pPr>
            <w:r>
              <w:rPr>
                <w:rFonts w:ascii="Times New Roman" w:hAnsi="Times New Roman" w:eastAsia="Times New Roman" w:cs="Times New Roman"/>
                <w:sz w:val="22"/>
                <w:szCs w:val="22"/>
              </w:rPr>
              <w:t>Integer</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AE5E02C">
            <w:pPr>
              <w:jc w:val="center"/>
            </w:pPr>
            <w:r>
              <w:rPr>
                <w:rFonts w:ascii="Times New Roman" w:hAnsi="Times New Roman" w:eastAsia="Times New Roman" w:cs="Times New Roman"/>
                <w:sz w:val="22"/>
                <w:szCs w:val="22"/>
              </w:rPr>
              <w:t>Absolute count (persons)</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2CEF06D">
            <w:pPr>
              <w:jc w:val="center"/>
            </w:pPr>
            <w:r>
              <w:rPr>
                <w:rFonts w:ascii="Times New Roman" w:hAnsi="Times New Roman" w:eastAsia="Times New Roman" w:cs="Times New Roman"/>
                <w:sz w:val="22"/>
                <w:szCs w:val="22"/>
              </w:rPr>
              <w:t>Total national population</w:t>
            </w:r>
          </w:p>
        </w:tc>
      </w:tr>
      <w:tr w14:paraId="61EE2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D167DAC">
            <w:pPr>
              <w:jc w:val="center"/>
            </w:pPr>
            <w:r>
              <w:rPr>
                <w:rFonts w:ascii="Times New Roman" w:hAnsi="Times New Roman" w:eastAsia="Times New Roman" w:cs="Times New Roman"/>
                <w:sz w:val="22"/>
                <w:szCs w:val="22"/>
              </w:rPr>
              <w:t>Freshwater</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D622768">
            <w:pPr>
              <w:jc w:val="center"/>
            </w:pPr>
            <w:r>
              <w:rPr>
                <w:rFonts w:ascii="Times New Roman" w:hAnsi="Times New Roman" w:eastAsia="Times New Roman" w:cs="Times New Roman"/>
                <w:sz w:val="22"/>
                <w:szCs w:val="22"/>
              </w:rPr>
              <w:t>Decimal Number</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0A46AD7">
            <w:pPr>
              <w:jc w:val="center"/>
            </w:pPr>
            <w:r>
              <w:rPr>
                <w:rFonts w:ascii="Times New Roman" w:hAnsi="Times New Roman" w:eastAsia="Times New Roman" w:cs="Times New Roman"/>
                <w:sz w:val="22"/>
                <w:szCs w:val="22"/>
              </w:rPr>
              <w:t>% of internal resources</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C7F2176">
            <w:pPr>
              <w:jc w:val="center"/>
            </w:pPr>
            <w:r>
              <w:rPr>
                <w:rFonts w:ascii="Times New Roman" w:hAnsi="Times New Roman" w:eastAsia="Times New Roman" w:cs="Times New Roman"/>
                <w:sz w:val="22"/>
                <w:szCs w:val="22"/>
              </w:rPr>
              <w:t>Annual freshwater withdrawals as % of internal resources</w:t>
            </w:r>
          </w:p>
        </w:tc>
      </w:tr>
    </w:tbl>
    <w:p w14:paraId="383A6061"/>
    <w:p w14:paraId="5704604F">
      <w:pPr>
        <w:spacing w:before="80" w:after="80"/>
        <w:jc w:val="center"/>
      </w:pPr>
      <w:r>
        <w:rPr>
          <w:rFonts w:ascii="Times New Roman" w:hAnsi="Times New Roman" w:eastAsia="Times New Roman" w:cs="Times New Roman"/>
          <w:b/>
          <w:bCs/>
          <w:sz w:val="22"/>
          <w:szCs w:val="22"/>
        </w:rPr>
        <w:t>Table 2: Sample Data Snapshot – Global Economic Indicators Dataset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38"/>
        <w:gridCol w:w="1174"/>
        <w:gridCol w:w="1386"/>
        <w:gridCol w:w="1246"/>
        <w:gridCol w:w="1230"/>
        <w:gridCol w:w="1465"/>
        <w:gridCol w:w="1287"/>
      </w:tblGrid>
      <w:tr w14:paraId="28A24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89"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0965D232">
            <w:pPr>
              <w:jc w:val="center"/>
            </w:pPr>
            <w:r>
              <w:rPr>
                <w:rFonts w:ascii="Times New Roman" w:hAnsi="Times New Roman" w:eastAsia="Times New Roman" w:cs="Times New Roman"/>
                <w:b/>
                <w:bCs/>
                <w:color w:val="FFFFFF"/>
                <w:sz w:val="22"/>
                <w:szCs w:val="22"/>
              </w:rPr>
              <w:t>Country</w:t>
            </w:r>
          </w:p>
        </w:tc>
        <w:tc>
          <w:tcPr>
            <w:tcW w:w="1289"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0A09CAE9">
            <w:pPr>
              <w:jc w:val="center"/>
            </w:pPr>
            <w:r>
              <w:rPr>
                <w:rFonts w:ascii="Times New Roman" w:hAnsi="Times New Roman" w:eastAsia="Times New Roman" w:cs="Times New Roman"/>
                <w:b/>
                <w:bCs/>
                <w:color w:val="FFFFFF"/>
                <w:sz w:val="22"/>
                <w:szCs w:val="22"/>
              </w:rPr>
              <w:t>Year</w:t>
            </w:r>
          </w:p>
        </w:tc>
        <w:tc>
          <w:tcPr>
            <w:tcW w:w="1289"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0407D734">
            <w:pPr>
              <w:jc w:val="center"/>
            </w:pPr>
            <w:r>
              <w:rPr>
                <w:rFonts w:ascii="Times New Roman" w:hAnsi="Times New Roman" w:eastAsia="Times New Roman" w:cs="Times New Roman"/>
                <w:b/>
                <w:bCs/>
                <w:color w:val="FFFFFF"/>
                <w:sz w:val="22"/>
                <w:szCs w:val="22"/>
              </w:rPr>
              <w:t>GDP (USD)</w:t>
            </w:r>
          </w:p>
        </w:tc>
        <w:tc>
          <w:tcPr>
            <w:tcW w:w="1289"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06805AE4">
            <w:pPr>
              <w:jc w:val="center"/>
            </w:pPr>
            <w:r>
              <w:rPr>
                <w:rFonts w:ascii="Times New Roman" w:hAnsi="Times New Roman" w:eastAsia="Times New Roman" w:cs="Times New Roman"/>
                <w:b/>
                <w:bCs/>
                <w:color w:val="FFFFFF"/>
                <w:sz w:val="22"/>
                <w:szCs w:val="22"/>
              </w:rPr>
              <w:t>CO₂ (t/capita)</w:t>
            </w:r>
          </w:p>
        </w:tc>
        <w:tc>
          <w:tcPr>
            <w:tcW w:w="1289"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730FC6A6">
            <w:pPr>
              <w:jc w:val="center"/>
            </w:pPr>
            <w:r>
              <w:rPr>
                <w:rFonts w:ascii="Times New Roman" w:hAnsi="Times New Roman" w:eastAsia="Times New Roman" w:cs="Times New Roman"/>
                <w:b/>
                <w:bCs/>
                <w:color w:val="FFFFFF"/>
                <w:sz w:val="22"/>
                <w:szCs w:val="22"/>
              </w:rPr>
              <w:t>Energy (kg/cap)</w:t>
            </w:r>
          </w:p>
        </w:tc>
        <w:tc>
          <w:tcPr>
            <w:tcW w:w="1289"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706F6240">
            <w:pPr>
              <w:jc w:val="center"/>
            </w:pPr>
            <w:r>
              <w:rPr>
                <w:rFonts w:ascii="Times New Roman" w:hAnsi="Times New Roman" w:eastAsia="Times New Roman" w:cs="Times New Roman"/>
                <w:b/>
                <w:bCs/>
                <w:color w:val="FFFFFF"/>
                <w:sz w:val="22"/>
                <w:szCs w:val="22"/>
              </w:rPr>
              <w:t>Population</w:t>
            </w:r>
          </w:p>
        </w:tc>
        <w:tc>
          <w:tcPr>
            <w:tcW w:w="1289"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3676CDD8">
            <w:pPr>
              <w:jc w:val="center"/>
            </w:pPr>
            <w:r>
              <w:rPr>
                <w:rFonts w:ascii="Times New Roman" w:hAnsi="Times New Roman" w:eastAsia="Times New Roman" w:cs="Times New Roman"/>
                <w:b/>
                <w:bCs/>
                <w:color w:val="FFFFFF"/>
                <w:sz w:val="22"/>
                <w:szCs w:val="22"/>
              </w:rPr>
              <w:t>Freshwater (%)</w:t>
            </w:r>
          </w:p>
        </w:tc>
      </w:tr>
      <w:tr w14:paraId="72B2E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79E6630E">
            <w:pPr>
              <w:jc w:val="center"/>
            </w:pPr>
            <w:r>
              <w:rPr>
                <w:rFonts w:ascii="Times New Roman" w:hAnsi="Times New Roman" w:eastAsia="Times New Roman" w:cs="Times New Roman"/>
                <w:sz w:val="22"/>
                <w:szCs w:val="22"/>
              </w:rPr>
              <w:t>United States</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A8FF4DE">
            <w:pPr>
              <w:jc w:val="center"/>
            </w:pPr>
            <w:r>
              <w:rPr>
                <w:rFonts w:ascii="Times New Roman" w:hAnsi="Times New Roman" w:eastAsia="Times New Roman" w:cs="Times New Roman"/>
                <w:sz w:val="22"/>
                <w:szCs w:val="22"/>
              </w:rPr>
              <w:t>2000</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A78F5C2">
            <w:pPr>
              <w:jc w:val="center"/>
            </w:pPr>
            <w:r>
              <w:rPr>
                <w:rFonts w:ascii="Times New Roman" w:hAnsi="Times New Roman" w:eastAsia="Times New Roman" w:cs="Times New Roman"/>
                <w:sz w:val="22"/>
                <w:szCs w:val="22"/>
              </w:rPr>
              <w:t>10,284,779M</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B4E6B81">
            <w:pPr>
              <w:jc w:val="center"/>
            </w:pPr>
            <w:r>
              <w:rPr>
                <w:rFonts w:ascii="Times New Roman" w:hAnsi="Times New Roman" w:eastAsia="Times New Roman" w:cs="Times New Roman"/>
                <w:sz w:val="22"/>
                <w:szCs w:val="22"/>
              </w:rPr>
              <w:t>19.8</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7BFC9E56">
            <w:pPr>
              <w:jc w:val="center"/>
            </w:pPr>
            <w:r>
              <w:rPr>
                <w:rFonts w:ascii="Times New Roman" w:hAnsi="Times New Roman" w:eastAsia="Times New Roman" w:cs="Times New Roman"/>
                <w:sz w:val="22"/>
                <w:szCs w:val="22"/>
              </w:rPr>
              <w:t>7,919</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BC29474">
            <w:pPr>
              <w:jc w:val="center"/>
            </w:pPr>
            <w:r>
              <w:rPr>
                <w:rFonts w:ascii="Times New Roman" w:hAnsi="Times New Roman" w:eastAsia="Times New Roman" w:cs="Times New Roman"/>
                <w:sz w:val="22"/>
                <w:szCs w:val="22"/>
              </w:rPr>
              <w:t>282,162,411</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D021D0F">
            <w:pPr>
              <w:jc w:val="center"/>
            </w:pPr>
            <w:r>
              <w:rPr>
                <w:rFonts w:ascii="Times New Roman" w:hAnsi="Times New Roman" w:eastAsia="Times New Roman" w:cs="Times New Roman"/>
                <w:sz w:val="22"/>
                <w:szCs w:val="22"/>
              </w:rPr>
              <w:t>16.2</w:t>
            </w:r>
          </w:p>
        </w:tc>
      </w:tr>
      <w:tr w14:paraId="7E506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0CF78841">
            <w:pPr>
              <w:jc w:val="center"/>
            </w:pPr>
            <w:r>
              <w:rPr>
                <w:rFonts w:ascii="Times New Roman" w:hAnsi="Times New Roman" w:eastAsia="Times New Roman" w:cs="Times New Roman"/>
                <w:sz w:val="22"/>
                <w:szCs w:val="22"/>
              </w:rPr>
              <w:t>China</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6ED26D40">
            <w:pPr>
              <w:jc w:val="center"/>
            </w:pPr>
            <w:r>
              <w:rPr>
                <w:rFonts w:ascii="Times New Roman" w:hAnsi="Times New Roman" w:eastAsia="Times New Roman" w:cs="Times New Roman"/>
                <w:sz w:val="22"/>
                <w:szCs w:val="22"/>
              </w:rPr>
              <w:t>2000</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90556FC">
            <w:pPr>
              <w:jc w:val="center"/>
            </w:pPr>
            <w:r>
              <w:rPr>
                <w:rFonts w:ascii="Times New Roman" w:hAnsi="Times New Roman" w:eastAsia="Times New Roman" w:cs="Times New Roman"/>
                <w:sz w:val="22"/>
                <w:szCs w:val="22"/>
              </w:rPr>
              <w:t>1,211,346M</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091C497E">
            <w:pPr>
              <w:jc w:val="center"/>
            </w:pPr>
            <w:r>
              <w:rPr>
                <w:rFonts w:ascii="Times New Roman" w:hAnsi="Times New Roman" w:eastAsia="Times New Roman" w:cs="Times New Roman"/>
                <w:sz w:val="22"/>
                <w:szCs w:val="22"/>
              </w:rPr>
              <w:t>2.7</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B0EC9AF">
            <w:pPr>
              <w:jc w:val="center"/>
            </w:pPr>
            <w:r>
              <w:rPr>
                <w:rFonts w:ascii="Times New Roman" w:hAnsi="Times New Roman" w:eastAsia="Times New Roman" w:cs="Times New Roman"/>
                <w:sz w:val="22"/>
                <w:szCs w:val="22"/>
              </w:rPr>
              <w:t>1,038</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BCF630E">
            <w:pPr>
              <w:jc w:val="center"/>
            </w:pPr>
            <w:r>
              <w:rPr>
                <w:rFonts w:ascii="Times New Roman" w:hAnsi="Times New Roman" w:eastAsia="Times New Roman" w:cs="Times New Roman"/>
                <w:sz w:val="22"/>
                <w:szCs w:val="22"/>
              </w:rPr>
              <w:t>1,262,645,000</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F362341">
            <w:pPr>
              <w:jc w:val="center"/>
            </w:pPr>
            <w:r>
              <w:rPr>
                <w:rFonts w:ascii="Times New Roman" w:hAnsi="Times New Roman" w:eastAsia="Times New Roman" w:cs="Times New Roman"/>
                <w:sz w:val="22"/>
                <w:szCs w:val="22"/>
              </w:rPr>
              <w:t>21.4</w:t>
            </w:r>
          </w:p>
        </w:tc>
      </w:tr>
      <w:tr w14:paraId="1C6F7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6489233">
            <w:pPr>
              <w:jc w:val="center"/>
            </w:pPr>
            <w:r>
              <w:rPr>
                <w:rFonts w:ascii="Times New Roman" w:hAnsi="Times New Roman" w:eastAsia="Times New Roman" w:cs="Times New Roman"/>
                <w:sz w:val="22"/>
                <w:szCs w:val="22"/>
              </w:rPr>
              <w:t>India</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3B3592E">
            <w:pPr>
              <w:jc w:val="center"/>
            </w:pPr>
            <w:r>
              <w:rPr>
                <w:rFonts w:ascii="Times New Roman" w:hAnsi="Times New Roman" w:eastAsia="Times New Roman" w:cs="Times New Roman"/>
                <w:sz w:val="22"/>
                <w:szCs w:val="22"/>
              </w:rPr>
              <w:t>2000</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D0E745C">
            <w:pPr>
              <w:jc w:val="center"/>
            </w:pPr>
            <w:r>
              <w:rPr>
                <w:rFonts w:ascii="Times New Roman" w:hAnsi="Times New Roman" w:eastAsia="Times New Roman" w:cs="Times New Roman"/>
                <w:sz w:val="22"/>
                <w:szCs w:val="22"/>
              </w:rPr>
              <w:t>476,640M</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5EF9741">
            <w:pPr>
              <w:jc w:val="center"/>
            </w:pPr>
            <w:r>
              <w:rPr>
                <w:rFonts w:ascii="Times New Roman" w:hAnsi="Times New Roman" w:eastAsia="Times New Roman" w:cs="Times New Roman"/>
                <w:sz w:val="22"/>
                <w:szCs w:val="22"/>
              </w:rPr>
              <w:t>1.1</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7B2261B">
            <w:pPr>
              <w:jc w:val="center"/>
            </w:pPr>
            <w:r>
              <w:rPr>
                <w:rFonts w:ascii="Times New Roman" w:hAnsi="Times New Roman" w:eastAsia="Times New Roman" w:cs="Times New Roman"/>
                <w:sz w:val="22"/>
                <w:szCs w:val="22"/>
              </w:rPr>
              <w:t>479</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9B6CAD7">
            <w:pPr>
              <w:jc w:val="center"/>
            </w:pPr>
            <w:r>
              <w:rPr>
                <w:rFonts w:ascii="Times New Roman" w:hAnsi="Times New Roman" w:eastAsia="Times New Roman" w:cs="Times New Roman"/>
                <w:sz w:val="22"/>
                <w:szCs w:val="22"/>
              </w:rPr>
              <w:t>1,053,051,000</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24F573E">
            <w:pPr>
              <w:jc w:val="center"/>
            </w:pPr>
            <w:r>
              <w:rPr>
                <w:rFonts w:ascii="Times New Roman" w:hAnsi="Times New Roman" w:eastAsia="Times New Roman" w:cs="Times New Roman"/>
                <w:sz w:val="22"/>
                <w:szCs w:val="22"/>
              </w:rPr>
              <w:t>34.1</w:t>
            </w:r>
          </w:p>
        </w:tc>
      </w:tr>
      <w:tr w14:paraId="0F607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EA56418">
            <w:pPr>
              <w:jc w:val="center"/>
            </w:pPr>
            <w:r>
              <w:rPr>
                <w:rFonts w:ascii="Times New Roman" w:hAnsi="Times New Roman" w:eastAsia="Times New Roman" w:cs="Times New Roman"/>
                <w:sz w:val="22"/>
                <w:szCs w:val="22"/>
              </w:rPr>
              <w:t>Germany</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5E43A6B">
            <w:pPr>
              <w:jc w:val="center"/>
            </w:pPr>
            <w:r>
              <w:rPr>
                <w:rFonts w:ascii="Times New Roman" w:hAnsi="Times New Roman" w:eastAsia="Times New Roman" w:cs="Times New Roman"/>
                <w:sz w:val="22"/>
                <w:szCs w:val="22"/>
              </w:rPr>
              <w:t>2000</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218A818">
            <w:pPr>
              <w:jc w:val="center"/>
            </w:pPr>
            <w:r>
              <w:rPr>
                <w:rFonts w:ascii="Times New Roman" w:hAnsi="Times New Roman" w:eastAsia="Times New Roman" w:cs="Times New Roman"/>
                <w:sz w:val="22"/>
                <w:szCs w:val="22"/>
              </w:rPr>
              <w:t>1,950,647M</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D6FBE80">
            <w:pPr>
              <w:jc w:val="center"/>
            </w:pPr>
            <w:r>
              <w:rPr>
                <w:rFonts w:ascii="Times New Roman" w:hAnsi="Times New Roman" w:eastAsia="Times New Roman" w:cs="Times New Roman"/>
                <w:sz w:val="22"/>
                <w:szCs w:val="22"/>
              </w:rPr>
              <w:t>10.2</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7E90741">
            <w:pPr>
              <w:jc w:val="center"/>
            </w:pPr>
            <w:r>
              <w:rPr>
                <w:rFonts w:ascii="Times New Roman" w:hAnsi="Times New Roman" w:eastAsia="Times New Roman" w:cs="Times New Roman"/>
                <w:sz w:val="22"/>
                <w:szCs w:val="22"/>
              </w:rPr>
              <w:t>4,235</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310A467">
            <w:pPr>
              <w:jc w:val="center"/>
            </w:pPr>
            <w:r>
              <w:rPr>
                <w:rFonts w:ascii="Times New Roman" w:hAnsi="Times New Roman" w:eastAsia="Times New Roman" w:cs="Times New Roman"/>
                <w:sz w:val="22"/>
                <w:szCs w:val="22"/>
              </w:rPr>
              <w:t>81,896,000</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6AE4441">
            <w:pPr>
              <w:jc w:val="center"/>
            </w:pPr>
            <w:r>
              <w:rPr>
                <w:rFonts w:ascii="Times New Roman" w:hAnsi="Times New Roman" w:eastAsia="Times New Roman" w:cs="Times New Roman"/>
                <w:sz w:val="22"/>
                <w:szCs w:val="22"/>
              </w:rPr>
              <w:t>26.3</w:t>
            </w:r>
          </w:p>
        </w:tc>
      </w:tr>
      <w:tr w14:paraId="7FDBE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BE284EF">
            <w:pPr>
              <w:jc w:val="center"/>
            </w:pPr>
            <w:r>
              <w:rPr>
                <w:rFonts w:ascii="Times New Roman" w:hAnsi="Times New Roman" w:eastAsia="Times New Roman" w:cs="Times New Roman"/>
                <w:sz w:val="22"/>
                <w:szCs w:val="22"/>
              </w:rPr>
              <w:t>Brazil</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934F3F5">
            <w:pPr>
              <w:jc w:val="center"/>
            </w:pPr>
            <w:r>
              <w:rPr>
                <w:rFonts w:ascii="Times New Roman" w:hAnsi="Times New Roman" w:eastAsia="Times New Roman" w:cs="Times New Roman"/>
                <w:sz w:val="22"/>
                <w:szCs w:val="22"/>
              </w:rPr>
              <w:t>2000</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3E41EA5">
            <w:pPr>
              <w:jc w:val="center"/>
            </w:pPr>
            <w:r>
              <w:rPr>
                <w:rFonts w:ascii="Times New Roman" w:hAnsi="Times New Roman" w:eastAsia="Times New Roman" w:cs="Times New Roman"/>
                <w:sz w:val="22"/>
                <w:szCs w:val="22"/>
              </w:rPr>
              <w:t>644,703M</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3A015E5">
            <w:pPr>
              <w:jc w:val="center"/>
            </w:pPr>
            <w:r>
              <w:rPr>
                <w:rFonts w:ascii="Times New Roman" w:hAnsi="Times New Roman" w:eastAsia="Times New Roman" w:cs="Times New Roman"/>
                <w:sz w:val="22"/>
                <w:szCs w:val="22"/>
              </w:rPr>
              <w:t>2.1</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37D1C06">
            <w:pPr>
              <w:jc w:val="center"/>
            </w:pPr>
            <w:r>
              <w:rPr>
                <w:rFonts w:ascii="Times New Roman" w:hAnsi="Times New Roman" w:eastAsia="Times New Roman" w:cs="Times New Roman"/>
                <w:sz w:val="22"/>
                <w:szCs w:val="22"/>
              </w:rPr>
              <w:t>1,163</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E777F37">
            <w:pPr>
              <w:jc w:val="center"/>
            </w:pPr>
            <w:r>
              <w:rPr>
                <w:rFonts w:ascii="Times New Roman" w:hAnsi="Times New Roman" w:eastAsia="Times New Roman" w:cs="Times New Roman"/>
                <w:sz w:val="22"/>
                <w:szCs w:val="22"/>
              </w:rPr>
              <w:t>174,425,000</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51186C7">
            <w:pPr>
              <w:jc w:val="center"/>
            </w:pPr>
            <w:r>
              <w:rPr>
                <w:rFonts w:ascii="Times New Roman" w:hAnsi="Times New Roman" w:eastAsia="Times New Roman" w:cs="Times New Roman"/>
                <w:sz w:val="22"/>
                <w:szCs w:val="22"/>
              </w:rPr>
              <w:t>0.8</w:t>
            </w:r>
          </w:p>
        </w:tc>
      </w:tr>
      <w:tr w14:paraId="1203A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6B6C523B">
            <w:pPr>
              <w:jc w:val="center"/>
            </w:pPr>
            <w:r>
              <w:rPr>
                <w:rFonts w:ascii="Times New Roman" w:hAnsi="Times New Roman" w:eastAsia="Times New Roman" w:cs="Times New Roman"/>
                <w:sz w:val="22"/>
                <w:szCs w:val="22"/>
              </w:rPr>
              <w:t>Nigeria</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21C2D54">
            <w:pPr>
              <w:jc w:val="center"/>
            </w:pPr>
            <w:r>
              <w:rPr>
                <w:rFonts w:ascii="Times New Roman" w:hAnsi="Times New Roman" w:eastAsia="Times New Roman" w:cs="Times New Roman"/>
                <w:sz w:val="22"/>
                <w:szCs w:val="22"/>
              </w:rPr>
              <w:t>2000</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BFF9904">
            <w:pPr>
              <w:jc w:val="center"/>
            </w:pPr>
            <w:r>
              <w:rPr>
                <w:rFonts w:ascii="Times New Roman" w:hAnsi="Times New Roman" w:eastAsia="Times New Roman" w:cs="Times New Roman"/>
                <w:sz w:val="22"/>
                <w:szCs w:val="22"/>
              </w:rPr>
              <w:t>46,387M</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E8255C7">
            <w:pPr>
              <w:jc w:val="center"/>
            </w:pPr>
            <w:r>
              <w:rPr>
                <w:rFonts w:ascii="Times New Roman" w:hAnsi="Times New Roman" w:eastAsia="Times New Roman" w:cs="Times New Roman"/>
                <w:sz w:val="22"/>
                <w:szCs w:val="22"/>
              </w:rPr>
              <w:t>0.6</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76C2871">
            <w:pPr>
              <w:jc w:val="center"/>
            </w:pPr>
            <w:r>
              <w:rPr>
                <w:rFonts w:ascii="Times New Roman" w:hAnsi="Times New Roman" w:eastAsia="Times New Roman" w:cs="Times New Roman"/>
                <w:sz w:val="22"/>
                <w:szCs w:val="22"/>
              </w:rPr>
              <w:t>712</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AB76ED2">
            <w:pPr>
              <w:jc w:val="center"/>
            </w:pPr>
            <w:r>
              <w:rPr>
                <w:rFonts w:ascii="Times New Roman" w:hAnsi="Times New Roman" w:eastAsia="Times New Roman" w:cs="Times New Roman"/>
                <w:sz w:val="22"/>
                <w:szCs w:val="22"/>
              </w:rPr>
              <w:t>122,352,000</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3FE8DD6">
            <w:pPr>
              <w:jc w:val="center"/>
            </w:pPr>
            <w:r>
              <w:rPr>
                <w:rFonts w:ascii="Times New Roman" w:hAnsi="Times New Roman" w:eastAsia="Times New Roman" w:cs="Times New Roman"/>
                <w:sz w:val="22"/>
                <w:szCs w:val="22"/>
              </w:rPr>
              <w:t>3.2</w:t>
            </w:r>
          </w:p>
        </w:tc>
      </w:tr>
      <w:tr w14:paraId="552B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766639F1">
            <w:pPr>
              <w:jc w:val="center"/>
            </w:pPr>
            <w:r>
              <w:rPr>
                <w:rFonts w:ascii="Times New Roman" w:hAnsi="Times New Roman" w:eastAsia="Times New Roman" w:cs="Times New Roman"/>
                <w:sz w:val="22"/>
                <w:szCs w:val="22"/>
              </w:rPr>
              <w:t>United States</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FBF1ABE">
            <w:pPr>
              <w:jc w:val="center"/>
            </w:pPr>
            <w:r>
              <w:rPr>
                <w:rFonts w:ascii="Times New Roman" w:hAnsi="Times New Roman" w:eastAsia="Times New Roman" w:cs="Times New Roman"/>
                <w:sz w:val="22"/>
                <w:szCs w:val="22"/>
              </w:rPr>
              <w:t>2010</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74BF9003">
            <w:pPr>
              <w:jc w:val="center"/>
            </w:pPr>
            <w:r>
              <w:rPr>
                <w:rFonts w:ascii="Times New Roman" w:hAnsi="Times New Roman" w:eastAsia="Times New Roman" w:cs="Times New Roman"/>
                <w:sz w:val="22"/>
                <w:szCs w:val="22"/>
              </w:rPr>
              <w:t>14,964,400M</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B6D6906">
            <w:pPr>
              <w:jc w:val="center"/>
            </w:pPr>
            <w:r>
              <w:rPr>
                <w:rFonts w:ascii="Times New Roman" w:hAnsi="Times New Roman" w:eastAsia="Times New Roman" w:cs="Times New Roman"/>
                <w:sz w:val="22"/>
                <w:szCs w:val="22"/>
              </w:rPr>
              <w:t>17.6</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47C054F">
            <w:pPr>
              <w:jc w:val="center"/>
            </w:pPr>
            <w:r>
              <w:rPr>
                <w:rFonts w:ascii="Times New Roman" w:hAnsi="Times New Roman" w:eastAsia="Times New Roman" w:cs="Times New Roman"/>
                <w:sz w:val="22"/>
                <w:szCs w:val="22"/>
              </w:rPr>
              <w:t>7,075</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979445D">
            <w:pPr>
              <w:jc w:val="center"/>
            </w:pPr>
            <w:r>
              <w:rPr>
                <w:rFonts w:ascii="Times New Roman" w:hAnsi="Times New Roman" w:eastAsia="Times New Roman" w:cs="Times New Roman"/>
                <w:sz w:val="22"/>
                <w:szCs w:val="22"/>
              </w:rPr>
              <w:t>308,745,538</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03FC498">
            <w:pPr>
              <w:jc w:val="center"/>
            </w:pPr>
            <w:r>
              <w:rPr>
                <w:rFonts w:ascii="Times New Roman" w:hAnsi="Times New Roman" w:eastAsia="Times New Roman" w:cs="Times New Roman"/>
                <w:sz w:val="22"/>
                <w:szCs w:val="22"/>
              </w:rPr>
              <w:t>14.9</w:t>
            </w:r>
          </w:p>
        </w:tc>
      </w:tr>
      <w:tr w14:paraId="7A7FA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DEA4247">
            <w:pPr>
              <w:jc w:val="center"/>
            </w:pPr>
            <w:r>
              <w:rPr>
                <w:rFonts w:ascii="Times New Roman" w:hAnsi="Times New Roman" w:eastAsia="Times New Roman" w:cs="Times New Roman"/>
                <w:sz w:val="22"/>
                <w:szCs w:val="22"/>
              </w:rPr>
              <w:t>China</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D3507D0">
            <w:pPr>
              <w:jc w:val="center"/>
            </w:pPr>
            <w:r>
              <w:rPr>
                <w:rFonts w:ascii="Times New Roman" w:hAnsi="Times New Roman" w:eastAsia="Times New Roman" w:cs="Times New Roman"/>
                <w:sz w:val="22"/>
                <w:szCs w:val="22"/>
              </w:rPr>
              <w:t>2010</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832441A">
            <w:pPr>
              <w:jc w:val="center"/>
            </w:pPr>
            <w:r>
              <w:rPr>
                <w:rFonts w:ascii="Times New Roman" w:hAnsi="Times New Roman" w:eastAsia="Times New Roman" w:cs="Times New Roman"/>
                <w:sz w:val="22"/>
                <w:szCs w:val="22"/>
              </w:rPr>
              <w:t>6,087,165M</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F20ED97">
            <w:pPr>
              <w:jc w:val="center"/>
            </w:pPr>
            <w:r>
              <w:rPr>
                <w:rFonts w:ascii="Times New Roman" w:hAnsi="Times New Roman" w:eastAsia="Times New Roman" w:cs="Times New Roman"/>
                <w:sz w:val="22"/>
                <w:szCs w:val="22"/>
              </w:rPr>
              <w:t>6.2</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AF54B17">
            <w:pPr>
              <w:jc w:val="center"/>
            </w:pPr>
            <w:r>
              <w:rPr>
                <w:rFonts w:ascii="Times New Roman" w:hAnsi="Times New Roman" w:eastAsia="Times New Roman" w:cs="Times New Roman"/>
                <w:sz w:val="22"/>
                <w:szCs w:val="22"/>
              </w:rPr>
              <w:t>2,178</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E09A928">
            <w:pPr>
              <w:jc w:val="center"/>
            </w:pPr>
            <w:r>
              <w:rPr>
                <w:rFonts w:ascii="Times New Roman" w:hAnsi="Times New Roman" w:eastAsia="Times New Roman" w:cs="Times New Roman"/>
                <w:sz w:val="22"/>
                <w:szCs w:val="22"/>
              </w:rPr>
              <w:t>1,338,299,512</w:t>
            </w:r>
          </w:p>
        </w:tc>
        <w:tc>
          <w:tcPr>
            <w:tcW w:w="128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AC843F1">
            <w:pPr>
              <w:jc w:val="center"/>
            </w:pPr>
            <w:r>
              <w:rPr>
                <w:rFonts w:ascii="Times New Roman" w:hAnsi="Times New Roman" w:eastAsia="Times New Roman" w:cs="Times New Roman"/>
                <w:sz w:val="22"/>
                <w:szCs w:val="22"/>
              </w:rPr>
              <w:t>20.2</w:t>
            </w:r>
          </w:p>
        </w:tc>
      </w:tr>
      <w:tr w14:paraId="265C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2EA1342">
            <w:pPr>
              <w:jc w:val="center"/>
            </w:pPr>
            <w:r>
              <w:rPr>
                <w:rFonts w:ascii="Times New Roman" w:hAnsi="Times New Roman" w:eastAsia="Times New Roman" w:cs="Times New Roman"/>
                <w:sz w:val="22"/>
                <w:szCs w:val="22"/>
              </w:rPr>
              <w:t>India</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0137289">
            <w:pPr>
              <w:jc w:val="center"/>
            </w:pPr>
            <w:r>
              <w:rPr>
                <w:rFonts w:ascii="Times New Roman" w:hAnsi="Times New Roman" w:eastAsia="Times New Roman" w:cs="Times New Roman"/>
                <w:sz w:val="22"/>
                <w:szCs w:val="22"/>
              </w:rPr>
              <w:t>2010</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C329DC0">
            <w:pPr>
              <w:jc w:val="center"/>
            </w:pPr>
            <w:r>
              <w:rPr>
                <w:rFonts w:ascii="Times New Roman" w:hAnsi="Times New Roman" w:eastAsia="Times New Roman" w:cs="Times New Roman"/>
                <w:sz w:val="22"/>
                <w:szCs w:val="22"/>
              </w:rPr>
              <w:t>1,708,459M</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59234FB">
            <w:pPr>
              <w:jc w:val="center"/>
            </w:pPr>
            <w:r>
              <w:rPr>
                <w:rFonts w:ascii="Times New Roman" w:hAnsi="Times New Roman" w:eastAsia="Times New Roman" w:cs="Times New Roman"/>
                <w:sz w:val="22"/>
                <w:szCs w:val="22"/>
              </w:rPr>
              <w:t>1.7</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9CFA5B0">
            <w:pPr>
              <w:jc w:val="center"/>
            </w:pPr>
            <w:r>
              <w:rPr>
                <w:rFonts w:ascii="Times New Roman" w:hAnsi="Times New Roman" w:eastAsia="Times New Roman" w:cs="Times New Roman"/>
                <w:sz w:val="22"/>
                <w:szCs w:val="22"/>
              </w:rPr>
              <w:t>618</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FD9BE61">
            <w:pPr>
              <w:jc w:val="center"/>
            </w:pPr>
            <w:r>
              <w:rPr>
                <w:rFonts w:ascii="Times New Roman" w:hAnsi="Times New Roman" w:eastAsia="Times New Roman" w:cs="Times New Roman"/>
                <w:sz w:val="22"/>
                <w:szCs w:val="22"/>
              </w:rPr>
              <w:t>1,230,984,504</w:t>
            </w:r>
          </w:p>
        </w:tc>
        <w:tc>
          <w:tcPr>
            <w:tcW w:w="1289"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3A99746">
            <w:pPr>
              <w:jc w:val="center"/>
            </w:pPr>
            <w:r>
              <w:rPr>
                <w:rFonts w:ascii="Times New Roman" w:hAnsi="Times New Roman" w:eastAsia="Times New Roman" w:cs="Times New Roman"/>
                <w:sz w:val="22"/>
                <w:szCs w:val="22"/>
              </w:rPr>
              <w:t>36.8</w:t>
            </w:r>
          </w:p>
        </w:tc>
      </w:tr>
    </w:tbl>
    <w:p w14:paraId="1A961A4D">
      <w:pPr>
        <w:pStyle w:val="3"/>
        <w:spacing w:before="280" w:after="160"/>
      </w:pPr>
      <w:r>
        <w:rPr>
          <w:rFonts w:ascii="Times New Roman" w:hAnsi="Times New Roman" w:eastAsia="Times New Roman" w:cs="Times New Roman"/>
          <w:b/>
          <w:bCs/>
          <w:sz w:val="28"/>
          <w:szCs w:val="28"/>
        </w:rPr>
        <w:t>2.3 Attributes and Column Descriptions</w:t>
      </w:r>
    </w:p>
    <w:p w14:paraId="10665C03">
      <w:pPr>
        <w:spacing w:before="0" w:after="160" w:line="360" w:lineRule="auto"/>
        <w:jc w:val="both"/>
      </w:pPr>
      <w:r>
        <w:rPr>
          <w:rFonts w:ascii="Times New Roman" w:hAnsi="Times New Roman" w:eastAsia="Times New Roman" w:cs="Times New Roman"/>
          <w:b w:val="0"/>
          <w:bCs w:val="0"/>
          <w:i w:val="0"/>
          <w:iCs w:val="0"/>
          <w:sz w:val="24"/>
          <w:szCs w:val="24"/>
        </w:rPr>
        <w:t>A detailed understanding of each attribute in the dataset is essential for sound analytical practice. The following sub-sections provide comprehensive descriptions of each column, including its operational definition, unit of measurement, data source, and any known limitations or caveats associated with its interpretation.</w:t>
      </w:r>
    </w:p>
    <w:p w14:paraId="13856F91">
      <w:pPr>
        <w:pStyle w:val="4"/>
        <w:spacing w:before="240" w:after="120"/>
      </w:pPr>
      <w:r>
        <w:rPr>
          <w:rFonts w:ascii="Times New Roman" w:hAnsi="Times New Roman" w:eastAsia="Times New Roman" w:cs="Times New Roman"/>
          <w:b/>
          <w:bCs/>
          <w:sz w:val="26"/>
          <w:szCs w:val="26"/>
        </w:rPr>
        <w:t>2.3.1 Country</w:t>
      </w:r>
    </w:p>
    <w:p w14:paraId="33F47B92">
      <w:pPr>
        <w:spacing w:before="0" w:after="160" w:line="360" w:lineRule="auto"/>
        <w:jc w:val="both"/>
      </w:pPr>
      <w:r>
        <w:rPr>
          <w:rFonts w:ascii="Times New Roman" w:hAnsi="Times New Roman" w:eastAsia="Times New Roman" w:cs="Times New Roman"/>
          <w:b w:val="0"/>
          <w:bCs w:val="0"/>
          <w:i w:val="0"/>
          <w:iCs w:val="0"/>
          <w:sz w:val="24"/>
          <w:szCs w:val="24"/>
        </w:rPr>
        <w:t>This is a categorical text variable that identifies the nation or territory to which each observation pertains. Country names follow the standardized nomenclature used by the World Bank, which in most cases corresponds to the official UN designation. The dataset includes countries from all six inhabited continents and spans both developed and developing economy categories. For the purposes of aggregation and regional analysis, countries can be grouped according to the World Bank's income classification system (Low Income, Lower-Middle Income, Upper-Middle Income, and High Income) or by geographic region (East Asia &amp; Pacific, Europe &amp; Central Asia, Latin America &amp; Caribbean, Middle East &amp; North Africa, North America, South Asia, Sub-Saharan Africa).</w:t>
      </w:r>
    </w:p>
    <w:p w14:paraId="66DC12AF">
      <w:pPr>
        <w:pStyle w:val="4"/>
        <w:spacing w:before="240" w:after="120"/>
      </w:pPr>
      <w:r>
        <w:rPr>
          <w:rFonts w:ascii="Times New Roman" w:hAnsi="Times New Roman" w:eastAsia="Times New Roman" w:cs="Times New Roman"/>
          <w:b/>
          <w:bCs/>
          <w:sz w:val="26"/>
          <w:szCs w:val="26"/>
        </w:rPr>
        <w:t>2.3.2 Year</w:t>
      </w:r>
    </w:p>
    <w:p w14:paraId="58333EF2">
      <w:pPr>
        <w:spacing w:before="0" w:after="160" w:line="360" w:lineRule="auto"/>
        <w:jc w:val="both"/>
      </w:pPr>
      <w:r>
        <w:rPr>
          <w:rFonts w:ascii="Times New Roman" w:hAnsi="Times New Roman" w:eastAsia="Times New Roman" w:cs="Times New Roman"/>
          <w:b w:val="0"/>
          <w:bCs w:val="0"/>
          <w:i w:val="0"/>
          <w:iCs w:val="0"/>
          <w:sz w:val="24"/>
          <w:szCs w:val="24"/>
        </w:rPr>
        <w:t>This variable records the calendar year to which the observation corresponds. The temporal coverage of the dataset spans from 1990 to 2020, representing a thirty-one-year window that encompasses major global events including the end of the Cold War (1991), the Asian Financial Crisis (1997), the dot-com bubble burst (2001), the Global Financial Crisis (2008–2009), and the early stages of the COVID-19 pandemic (2020). These events introduced significant structural breaks and volatility into several of the indicator series, and their effects are clearly discernible in the visualizations developed as part of this project.</w:t>
      </w:r>
    </w:p>
    <w:p w14:paraId="5B2B39D4">
      <w:pPr>
        <w:pStyle w:val="4"/>
        <w:spacing w:before="240" w:after="120"/>
      </w:pPr>
      <w:r>
        <w:rPr>
          <w:rFonts w:ascii="Times New Roman" w:hAnsi="Times New Roman" w:eastAsia="Times New Roman" w:cs="Times New Roman"/>
          <w:b/>
          <w:bCs/>
          <w:sz w:val="26"/>
          <w:szCs w:val="26"/>
        </w:rPr>
        <w:t>2.3.3 GDP (Gross Domestic Product)</w:t>
      </w:r>
    </w:p>
    <w:p w14:paraId="7C7511CC">
      <w:pPr>
        <w:spacing w:before="0" w:after="160" w:line="360" w:lineRule="auto"/>
        <w:jc w:val="both"/>
      </w:pPr>
      <w:r>
        <w:rPr>
          <w:rFonts w:ascii="Times New Roman" w:hAnsi="Times New Roman" w:eastAsia="Times New Roman" w:cs="Times New Roman"/>
          <w:b w:val="0"/>
          <w:bCs w:val="0"/>
          <w:i w:val="0"/>
          <w:iCs w:val="0"/>
          <w:sz w:val="24"/>
          <w:szCs w:val="24"/>
        </w:rPr>
        <w:t>GDP measures the total monetary value of all goods and services produced within a country's borders during a specified time period, typically a calendar year. It is expressed in current US dollars, meaning that values are not adjusted for inflation across years. This decision to use nominal rather than real (inflation-adjusted) GDP introduces some caution in making year-over-year comparisons, as apparent growth may partly reflect currency depreciation or inflation rather than genuine increases in economic output. For robust longitudinal comparisons, a constant-price GDP series (expressed in, for example, 2015 USD) would be preferable; however, nominal GDP was retained in the present dataset as it more directly reflects the size of economies in terms of international transactions and purchasing power in current market conditions.</w:t>
      </w:r>
    </w:p>
    <w:p w14:paraId="0B7A72BF">
      <w:pPr>
        <w:pStyle w:val="4"/>
        <w:spacing w:before="240" w:after="120"/>
      </w:pPr>
      <w:r>
        <w:rPr>
          <w:rFonts w:ascii="Times New Roman" w:hAnsi="Times New Roman" w:eastAsia="Times New Roman" w:cs="Times New Roman"/>
          <w:b/>
          <w:bCs/>
          <w:sz w:val="26"/>
          <w:szCs w:val="26"/>
        </w:rPr>
        <w:t>2.3.4 Energy Use</w:t>
      </w:r>
    </w:p>
    <w:p w14:paraId="1E7A1FFB">
      <w:pPr>
        <w:spacing w:before="0" w:after="160" w:line="360" w:lineRule="auto"/>
        <w:jc w:val="both"/>
      </w:pPr>
      <w:r>
        <w:rPr>
          <w:rFonts w:ascii="Times New Roman" w:hAnsi="Times New Roman" w:eastAsia="Times New Roman" w:cs="Times New Roman"/>
          <w:b w:val="0"/>
          <w:bCs w:val="0"/>
          <w:i w:val="0"/>
          <w:iCs w:val="0"/>
          <w:sz w:val="24"/>
          <w:szCs w:val="24"/>
        </w:rPr>
        <w:t>Energy use per capita is measured in kilograms of oil equivalent (kg of oil equivalent), a standardized unit that allows for the comparison of energy derived from different sources (coal, natural gas, petroleum, hydropower, nuclear, renewables) by converting them into the energy content equivalent of a kilogram of crude oil (approximately 41.87 megajoules). This per capita normalization accounts for differences in national population size and allows for meaningful cross-country comparisons of individual-level energy intensity. High per capita energy use is generally associated with highly industrialized economies with extensive manufacturing sectors, cold climates requiring space heating, and high rates of motorization. Conversely, low per capita energy use may reflect both economic underdevelopment and the predominance of less energy-intensive service sectors.</w:t>
      </w:r>
    </w:p>
    <w:p w14:paraId="1AC1D248">
      <w:pPr>
        <w:pStyle w:val="4"/>
        <w:spacing w:before="240" w:after="120"/>
      </w:pPr>
      <w:r>
        <w:rPr>
          <w:rFonts w:ascii="Times New Roman" w:hAnsi="Times New Roman" w:eastAsia="Times New Roman" w:cs="Times New Roman"/>
          <w:b/>
          <w:bCs/>
          <w:sz w:val="26"/>
          <w:szCs w:val="26"/>
        </w:rPr>
        <w:t>2.3.5 CO₂ Emissions</w:t>
      </w:r>
    </w:p>
    <w:p w14:paraId="383C5760">
      <w:pPr>
        <w:spacing w:before="0" w:after="160" w:line="360" w:lineRule="auto"/>
        <w:jc w:val="both"/>
      </w:pPr>
      <w:r>
        <w:rPr>
          <w:rFonts w:ascii="Times New Roman" w:hAnsi="Times New Roman" w:eastAsia="Times New Roman" w:cs="Times New Roman"/>
          <w:b w:val="0"/>
          <w:bCs w:val="0"/>
          <w:i w:val="0"/>
          <w:iCs w:val="0"/>
          <w:sz w:val="24"/>
          <w:szCs w:val="24"/>
        </w:rPr>
        <w:t>Carbon dioxide (CO₂) emissions are measured in metric tonnes per capita and represent the amount of CO₂ produced through the combustion of fossil fuels (coal, oil, and natural gas), cement production, and flaring of natural gas, averaged across the total population. CO₂ is the single largest contributor to anthropogenic greenhouse gas emissions, accounting for approximately 74% of global emissions, and its atmospheric concentration has risen from approximately 315 parts per million (ppm) in 1958 to over 420 ppm as of 2023. The per capita normalization is critical for equitable cross-country comparisons, as large countries with high absolute emissions (such as China and the United States) may have very different per capita profiles depending on their population sizes.</w:t>
      </w:r>
    </w:p>
    <w:p w14:paraId="5C2E712B">
      <w:pPr>
        <w:pStyle w:val="4"/>
        <w:spacing w:before="240" w:after="120"/>
      </w:pPr>
      <w:r>
        <w:rPr>
          <w:rFonts w:ascii="Times New Roman" w:hAnsi="Times New Roman" w:eastAsia="Times New Roman" w:cs="Times New Roman"/>
          <w:b/>
          <w:bCs/>
          <w:sz w:val="26"/>
          <w:szCs w:val="26"/>
        </w:rPr>
        <w:t>2.3.6 Population</w:t>
      </w:r>
    </w:p>
    <w:p w14:paraId="0239E469">
      <w:pPr>
        <w:spacing w:before="0" w:after="160" w:line="360" w:lineRule="auto"/>
        <w:jc w:val="both"/>
      </w:pPr>
      <w:r>
        <w:rPr>
          <w:rFonts w:ascii="Times New Roman" w:hAnsi="Times New Roman" w:eastAsia="Times New Roman" w:cs="Times New Roman"/>
          <w:b w:val="0"/>
          <w:bCs w:val="0"/>
          <w:i w:val="0"/>
          <w:iCs w:val="0"/>
          <w:sz w:val="24"/>
          <w:szCs w:val="24"/>
        </w:rPr>
        <w:t>Population is recorded as the total absolute count of individuals residing within a country's geographic boundaries, including all demographic groups (male and female; all age cohorts). Population data is typically derived from national census counts, supplemented by estimates from demographic models in inter-census years. The dataset provides annual population estimates, which are particularly useful for normalizing other indicators on a per capita basis and for studying the demographic context within which economic and environmental changes occur. The global population figure crossed eight billion in November 2022, with the bulk of future growth expected in Sub-Saharan Africa.</w:t>
      </w:r>
    </w:p>
    <w:p w14:paraId="0A6B186B">
      <w:pPr>
        <w:pStyle w:val="4"/>
        <w:spacing w:before="240" w:after="120"/>
      </w:pPr>
      <w:r>
        <w:rPr>
          <w:rFonts w:ascii="Times New Roman" w:hAnsi="Times New Roman" w:eastAsia="Times New Roman" w:cs="Times New Roman"/>
          <w:b/>
          <w:bCs/>
          <w:sz w:val="26"/>
          <w:szCs w:val="26"/>
        </w:rPr>
        <w:t>2.3.7 Freshwater</w:t>
      </w:r>
    </w:p>
    <w:p w14:paraId="42A08A81">
      <w:pPr>
        <w:spacing w:before="0" w:after="160" w:line="360" w:lineRule="auto"/>
        <w:jc w:val="both"/>
      </w:pPr>
      <w:r>
        <w:rPr>
          <w:rFonts w:ascii="Times New Roman" w:hAnsi="Times New Roman" w:eastAsia="Times New Roman" w:cs="Times New Roman"/>
          <w:b w:val="0"/>
          <w:bCs w:val="0"/>
          <w:i w:val="0"/>
          <w:iCs w:val="0"/>
          <w:sz w:val="24"/>
          <w:szCs w:val="24"/>
        </w:rPr>
        <w:t>Freshwater withdrawal is expressed as the annual total volume of water extracted from groundwater and surface water sources as a percentage of the country's total internal renewable freshwater resources. This normalized metric, often referred to as the "water stress ratio," provides a measure of the pressure that human economic activity places on available freshwater stocks. Countries with a ratio below 10% are generally considered water-secure, those between 10% and 40% face moderate stress, those between 40% and 80% face high stress, and those above 80% face critical water scarcity. This indicator is particularly relevant in the context of agriculture, which accounts for approximately 70% of total global freshwater withdrawals.</w:t>
      </w:r>
    </w:p>
    <w:p w14:paraId="084DF620">
      <w:r>
        <w:br w:type="page"/>
      </w:r>
    </w:p>
    <w:p w14:paraId="53B77F47">
      <w:pPr>
        <w:pStyle w:val="2"/>
        <w:spacing w:before="320" w:after="200"/>
      </w:pPr>
      <w:r>
        <w:rPr>
          <w:rFonts w:ascii="Times New Roman" w:hAnsi="Times New Roman" w:eastAsia="Times New Roman" w:cs="Times New Roman"/>
          <w:b/>
          <w:bCs/>
          <w:sz w:val="32"/>
          <w:szCs w:val="32"/>
        </w:rPr>
        <w:t>CHAPTER 3: DATASET PREPROCESSING</w:t>
      </w:r>
    </w:p>
    <w:p w14:paraId="5166728E">
      <w:pPr>
        <w:pBdr>
          <w:bottom w:val="single" w:color="2E75B6" w:sz="4" w:space="1"/>
        </w:pBdr>
        <w:spacing w:before="100" w:after="100"/>
      </w:pPr>
    </w:p>
    <w:p w14:paraId="6AE025DD">
      <w:pPr>
        <w:spacing w:before="0" w:after="160" w:line="360" w:lineRule="auto"/>
        <w:jc w:val="both"/>
      </w:pPr>
      <w:r>
        <w:rPr>
          <w:rFonts w:ascii="Times New Roman" w:hAnsi="Times New Roman" w:eastAsia="Times New Roman" w:cs="Times New Roman"/>
          <w:b w:val="0"/>
          <w:bCs w:val="0"/>
          <w:i w:val="0"/>
          <w:iCs w:val="0"/>
          <w:sz w:val="24"/>
          <w:szCs w:val="24"/>
        </w:rPr>
        <w:t>Data preprocessing is a foundational and critically important stage in any data science project. Raw datasets, regardless of their source, invariably contain imperfections – missing values, inconsistencies in format, outliers, duplicate records, and structural anomalies – that can significantly compromise the validity and interpretability of analytical results if not addressed prior to analysis. In this project, a comprehensive multi-stage preprocessing pipeline was applied to the Global Economic Indicators dataset using the data transformation tools available within Microsoft Power BI's Power Query Editor, supplemented where necessary by manual review and adjustment within the data model.</w:t>
      </w:r>
    </w:p>
    <w:p w14:paraId="75278D79">
      <w:pPr>
        <w:pStyle w:val="3"/>
        <w:spacing w:before="280" w:after="160"/>
      </w:pPr>
      <w:r>
        <w:rPr>
          <w:rFonts w:ascii="Times New Roman" w:hAnsi="Times New Roman" w:eastAsia="Times New Roman" w:cs="Times New Roman"/>
          <w:b/>
          <w:bCs/>
          <w:sz w:val="28"/>
          <w:szCs w:val="28"/>
        </w:rPr>
        <w:t>3.1 Data Cleaning Steps</w:t>
      </w:r>
    </w:p>
    <w:p w14:paraId="3EF9E900">
      <w:pPr>
        <w:spacing w:before="0" w:after="160" w:line="360" w:lineRule="auto"/>
        <w:jc w:val="both"/>
      </w:pPr>
      <w:r>
        <w:rPr>
          <w:rFonts w:ascii="Times New Roman" w:hAnsi="Times New Roman" w:eastAsia="Times New Roman" w:cs="Times New Roman"/>
          <w:b w:val="0"/>
          <w:bCs w:val="0"/>
          <w:i w:val="0"/>
          <w:iCs w:val="0"/>
          <w:sz w:val="24"/>
          <w:szCs w:val="24"/>
        </w:rPr>
        <w:t>The initial phase of data cleaning involved a systematic audit of the raw dataset to identify and catalogue all quality issues present in the data. This audit was conducted using Power Query's Column Quality and Column Distribution profiling features, which provide automatic statistical summaries of each column's completeness (percentage of non-null values), uniqueness (count and percentage of distinct values), and error rate (percentage of rows containing parsing errors or invalid values).</w:t>
      </w:r>
    </w:p>
    <w:p w14:paraId="510BAB8B">
      <w:pPr>
        <w:pStyle w:val="4"/>
        <w:spacing w:before="240" w:after="120"/>
      </w:pPr>
      <w:r>
        <w:rPr>
          <w:rFonts w:ascii="Times New Roman" w:hAnsi="Times New Roman" w:eastAsia="Times New Roman" w:cs="Times New Roman"/>
          <w:b/>
          <w:bCs/>
          <w:sz w:val="26"/>
          <w:szCs w:val="26"/>
        </w:rPr>
        <w:t>3.1.1 Standardization of Country Names</w:t>
      </w:r>
    </w:p>
    <w:p w14:paraId="3E3EB9EB">
      <w:pPr>
        <w:spacing w:before="0" w:after="160" w:line="360" w:lineRule="auto"/>
        <w:jc w:val="both"/>
      </w:pPr>
      <w:r>
        <w:rPr>
          <w:rFonts w:ascii="Times New Roman" w:hAnsi="Times New Roman" w:eastAsia="Times New Roman" w:cs="Times New Roman"/>
          <w:b w:val="0"/>
          <w:bCs w:val="0"/>
          <w:i w:val="0"/>
          <w:iCs w:val="0"/>
          <w:sz w:val="24"/>
          <w:szCs w:val="24"/>
        </w:rPr>
        <w:t>The first and most pervasive data quality issue encountered was inconsistency in the formatting and spelling of country names across different data segments. When individual country-year CSV files were appended into a single consolidated table, variations in country name formatting – such as the presence or absence of definite articles (e.g., "Congo, Republic of" versus "Republic of Congo"), the use of abbreviations, or differences in capitalization – created spurious duplicates in the country identifier column. These were resolved by applying a custom standardization mapping table in Power Query, which enforced a canonical country name format consistent with the ISO 3166-1 standard. This step affected approximately 23 country name variants and was essential for ensuring that all data belonging to the same country was correctly aggregated during analysis.</w:t>
      </w:r>
    </w:p>
    <w:p w14:paraId="31640571">
      <w:pPr>
        <w:pStyle w:val="4"/>
        <w:spacing w:before="240" w:after="120"/>
      </w:pPr>
      <w:r>
        <w:rPr>
          <w:rFonts w:ascii="Times New Roman" w:hAnsi="Times New Roman" w:eastAsia="Times New Roman" w:cs="Times New Roman"/>
          <w:b/>
          <w:bCs/>
          <w:sz w:val="26"/>
          <w:szCs w:val="26"/>
        </w:rPr>
        <w:t>3.1.2 Removal of Duplicate Records</w:t>
      </w:r>
    </w:p>
    <w:p w14:paraId="50533044">
      <w:pPr>
        <w:spacing w:before="0" w:after="160" w:line="360" w:lineRule="auto"/>
        <w:jc w:val="both"/>
      </w:pPr>
      <w:r>
        <w:rPr>
          <w:rFonts w:ascii="Times New Roman" w:hAnsi="Times New Roman" w:eastAsia="Times New Roman" w:cs="Times New Roman"/>
          <w:b w:val="0"/>
          <w:bCs w:val="0"/>
          <w:i w:val="0"/>
          <w:iCs w:val="0"/>
          <w:sz w:val="24"/>
          <w:szCs w:val="24"/>
        </w:rPr>
        <w:t>Following the country name standardization exercise, a duplicate detection scan was applied to the merged dataset. Duplicates were defined as records sharing identical values on the composite primary key (Country, Year, Indicator). A total of 312 duplicate rows were identified, primarily arising from overlapping date ranges in the source CSV files that had been appended. These duplicate rows were removed using Power Query's "Remove Duplicates" function applied to the composite key columns. The retention of duplicates would have resulted in inflated aggregate statistics and erroneous trend lines in the dashboard visualizations.</w:t>
      </w:r>
    </w:p>
    <w:p w14:paraId="75BCF16E">
      <w:pPr>
        <w:pStyle w:val="4"/>
        <w:spacing w:before="240" w:after="120"/>
      </w:pPr>
      <w:r>
        <w:rPr>
          <w:rFonts w:ascii="Times New Roman" w:hAnsi="Times New Roman" w:eastAsia="Times New Roman" w:cs="Times New Roman"/>
          <w:b/>
          <w:bCs/>
          <w:sz w:val="26"/>
          <w:szCs w:val="26"/>
        </w:rPr>
        <w:t>3.1.3 Data Type Correction</w:t>
      </w:r>
    </w:p>
    <w:p w14:paraId="3E8013B9">
      <w:pPr>
        <w:spacing w:before="0" w:after="160" w:line="360" w:lineRule="auto"/>
        <w:jc w:val="both"/>
      </w:pPr>
      <w:r>
        <w:rPr>
          <w:rFonts w:ascii="Times New Roman" w:hAnsi="Times New Roman" w:eastAsia="Times New Roman" w:cs="Times New Roman"/>
          <w:b w:val="0"/>
          <w:bCs w:val="0"/>
          <w:i w:val="0"/>
          <w:iCs w:val="0"/>
          <w:sz w:val="24"/>
          <w:szCs w:val="24"/>
        </w:rPr>
        <w:t>A systematic review of column data types was conducted to ensure that each column was assigned the appropriate data type for its intended use. The Year column, which had been imported as a text string due to the formatting conventions of the source CSV files, was converted to an integer data type to enable correct chronological sorting and year-over-year calculations. The GDP, Energy Use, CO₂, Population, and Freshwater columns were confirmed to be of decimal number type, with any text formatting artifacts (such as comma separators in large numbers) removed prior to type assignment. The Country and Indicator columns were retained as text (categorical) data types.</w:t>
      </w:r>
    </w:p>
    <w:p w14:paraId="7339945A">
      <w:pPr>
        <w:pStyle w:val="4"/>
        <w:spacing w:before="240" w:after="120"/>
      </w:pPr>
      <w:r>
        <w:rPr>
          <w:rFonts w:ascii="Times New Roman" w:hAnsi="Times New Roman" w:eastAsia="Times New Roman" w:cs="Times New Roman"/>
          <w:b/>
          <w:bCs/>
          <w:sz w:val="26"/>
          <w:szCs w:val="26"/>
        </w:rPr>
        <w:t>3.1.4 Removal of Irrelevant Columns</w:t>
      </w:r>
    </w:p>
    <w:p w14:paraId="4B1A57DE">
      <w:pPr>
        <w:spacing w:before="0" w:after="160" w:line="360" w:lineRule="auto"/>
        <w:jc w:val="both"/>
      </w:pPr>
      <w:r>
        <w:rPr>
          <w:rFonts w:ascii="Times New Roman" w:hAnsi="Times New Roman" w:eastAsia="Times New Roman" w:cs="Times New Roman"/>
          <w:b w:val="0"/>
          <w:bCs w:val="0"/>
          <w:i w:val="0"/>
          <w:iCs w:val="0"/>
          <w:sz w:val="24"/>
          <w:szCs w:val="24"/>
        </w:rPr>
        <w:t>The original dataset contained several columns that were not directly relevant to the analytical objectives of this project, including country classification codes (World Bank region codes, income group codes), data source footnotes, and administrative metadata fields. These columns were removed from the data model to reduce the memory footprint of the report and simplify the analytical schema. Only the seven core columns described in Chapter 2 were retained in the final cleaned dataset.</w:t>
      </w:r>
    </w:p>
    <w:p w14:paraId="2350694F">
      <w:pPr>
        <w:pStyle w:val="4"/>
        <w:spacing w:before="240" w:after="120"/>
      </w:pPr>
      <w:r>
        <w:rPr>
          <w:rFonts w:ascii="Times New Roman" w:hAnsi="Times New Roman" w:eastAsia="Times New Roman" w:cs="Times New Roman"/>
          <w:b/>
          <w:bCs/>
          <w:sz w:val="26"/>
          <w:szCs w:val="26"/>
        </w:rPr>
        <w:t>3.1.5 Outlier Detection and Treatment</w:t>
      </w:r>
    </w:p>
    <w:p w14:paraId="1A24660F">
      <w:pPr>
        <w:spacing w:before="0" w:after="160" w:line="360" w:lineRule="auto"/>
        <w:jc w:val="both"/>
      </w:pPr>
      <w:r>
        <w:rPr>
          <w:rFonts w:ascii="Times New Roman" w:hAnsi="Times New Roman" w:eastAsia="Times New Roman" w:cs="Times New Roman"/>
          <w:b w:val="0"/>
          <w:bCs w:val="0"/>
          <w:i w:val="0"/>
          <w:iCs w:val="0"/>
          <w:sz w:val="24"/>
          <w:szCs w:val="24"/>
        </w:rPr>
        <w:t>Extreme values in the numerical columns were examined to distinguish between genuine outliers (values that are statistically anomalous but empirically valid) and data entry errors. For the GDP column, the United States and China values in later years were confirmed to be valid multi-trillion-dollar figures and were retained. For the CO₂ and Energy Use columns, several observations for small island nations with unusual energy profiles (such as Kuwait and Qatar, which have among the highest per capita energy consumption and emissions in the world due to their petroleum industries) were flagged for review but ultimately retained, as they represent valid data points that are substantively significant for the analysis.</w:t>
      </w:r>
    </w:p>
    <w:p w14:paraId="1BECE2DA">
      <w:pPr>
        <w:pStyle w:val="3"/>
        <w:spacing w:before="280" w:after="160"/>
      </w:pPr>
      <w:r>
        <w:rPr>
          <w:rFonts w:ascii="Times New Roman" w:hAnsi="Times New Roman" w:eastAsia="Times New Roman" w:cs="Times New Roman"/>
          <w:b/>
          <w:bCs/>
          <w:sz w:val="28"/>
          <w:szCs w:val="28"/>
        </w:rPr>
        <w:t>3.2 Handling Missing Values</w:t>
      </w:r>
    </w:p>
    <w:p w14:paraId="2FE3AEBD">
      <w:pPr>
        <w:spacing w:before="0" w:after="160" w:line="360" w:lineRule="auto"/>
        <w:jc w:val="both"/>
      </w:pPr>
      <w:r>
        <w:rPr>
          <w:rFonts w:ascii="Times New Roman" w:hAnsi="Times New Roman" w:eastAsia="Times New Roman" w:cs="Times New Roman"/>
          <w:b w:val="0"/>
          <w:bCs w:val="0"/>
          <w:i w:val="0"/>
          <w:iCs w:val="0"/>
          <w:sz w:val="24"/>
          <w:szCs w:val="24"/>
        </w:rPr>
        <w:t>Missing values represent one of the most challenging aspects of working with longitudinal cross-country datasets. In the Global Economic Indicators dataset, missing values arose from several sources: countries that did not report certain indicators to the World Bank in particular years; the absence of data for newly formed countries or territories; and the discontinuation of certain data collection programs during periods of political upheaval or economic crisis.</w:t>
      </w:r>
    </w:p>
    <w:p w14:paraId="6AA1437A"/>
    <w:p w14:paraId="239A546A">
      <w:pPr>
        <w:spacing w:before="80" w:after="80"/>
        <w:jc w:val="center"/>
      </w:pPr>
      <w:r>
        <w:rPr>
          <w:rFonts w:ascii="Times New Roman" w:hAnsi="Times New Roman" w:eastAsia="Times New Roman" w:cs="Times New Roman"/>
          <w:b/>
          <w:bCs/>
          <w:sz w:val="22"/>
          <w:szCs w:val="22"/>
        </w:rPr>
        <w:t>Table 3: Missing Value Analysis by Column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1921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5D72734F">
            <w:pPr>
              <w:jc w:val="center"/>
            </w:pPr>
            <w:r>
              <w:rPr>
                <w:rFonts w:ascii="Times New Roman" w:hAnsi="Times New Roman" w:eastAsia="Times New Roman" w:cs="Times New Roman"/>
                <w:b/>
                <w:bCs/>
                <w:color w:val="FFFFFF"/>
                <w:sz w:val="22"/>
                <w:szCs w:val="22"/>
              </w:rPr>
              <w:t>Column</w:t>
            </w:r>
          </w:p>
        </w:tc>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62A554E1">
            <w:pPr>
              <w:jc w:val="center"/>
            </w:pPr>
            <w:r>
              <w:rPr>
                <w:rFonts w:ascii="Times New Roman" w:hAnsi="Times New Roman" w:eastAsia="Times New Roman" w:cs="Times New Roman"/>
                <w:b/>
                <w:bCs/>
                <w:color w:val="FFFFFF"/>
                <w:sz w:val="22"/>
                <w:szCs w:val="22"/>
              </w:rPr>
              <w:t>Total Rows</w:t>
            </w:r>
          </w:p>
        </w:tc>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1B309148">
            <w:pPr>
              <w:jc w:val="center"/>
            </w:pPr>
            <w:r>
              <w:rPr>
                <w:rFonts w:ascii="Times New Roman" w:hAnsi="Times New Roman" w:eastAsia="Times New Roman" w:cs="Times New Roman"/>
                <w:b/>
                <w:bCs/>
                <w:color w:val="FFFFFF"/>
                <w:sz w:val="22"/>
                <w:szCs w:val="22"/>
              </w:rPr>
              <w:t>Missing Values</w:t>
            </w:r>
          </w:p>
        </w:tc>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7D7DE3BB">
            <w:pPr>
              <w:jc w:val="center"/>
            </w:pPr>
            <w:r>
              <w:rPr>
                <w:rFonts w:ascii="Times New Roman" w:hAnsi="Times New Roman" w:eastAsia="Times New Roman" w:cs="Times New Roman"/>
                <w:b/>
                <w:bCs/>
                <w:color w:val="FFFFFF"/>
                <w:sz w:val="22"/>
                <w:szCs w:val="22"/>
              </w:rPr>
              <w:t>% Missing</w:t>
            </w:r>
          </w:p>
        </w:tc>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15B547BE">
            <w:pPr>
              <w:jc w:val="center"/>
            </w:pPr>
            <w:r>
              <w:rPr>
                <w:rFonts w:ascii="Times New Roman" w:hAnsi="Times New Roman" w:eastAsia="Times New Roman" w:cs="Times New Roman"/>
                <w:b/>
                <w:bCs/>
                <w:color w:val="FFFFFF"/>
                <w:sz w:val="22"/>
                <w:szCs w:val="22"/>
              </w:rPr>
              <w:t>Treatment Applied</w:t>
            </w:r>
          </w:p>
        </w:tc>
      </w:tr>
      <w:tr w14:paraId="06CF1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E6E55D3">
            <w:pPr>
              <w:jc w:val="center"/>
            </w:pPr>
            <w:r>
              <w:rPr>
                <w:rFonts w:ascii="Times New Roman" w:hAnsi="Times New Roman" w:eastAsia="Times New Roman" w:cs="Times New Roman"/>
                <w:sz w:val="22"/>
                <w:szCs w:val="22"/>
              </w:rPr>
              <w:t>GDP</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A71BA72">
            <w:pPr>
              <w:jc w:val="center"/>
            </w:pPr>
            <w:r>
              <w:rPr>
                <w:rFonts w:ascii="Times New Roman" w:hAnsi="Times New Roman" w:eastAsia="Times New Roman" w:cs="Times New Roman"/>
                <w:sz w:val="22"/>
                <w:szCs w:val="22"/>
              </w:rPr>
              <w:t>6,045</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42D1A3F">
            <w:pPr>
              <w:jc w:val="center"/>
            </w:pPr>
            <w:r>
              <w:rPr>
                <w:rFonts w:ascii="Times New Roman" w:hAnsi="Times New Roman" w:eastAsia="Times New Roman" w:cs="Times New Roman"/>
                <w:sz w:val="22"/>
                <w:szCs w:val="22"/>
              </w:rPr>
              <w:t>487</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B80E309">
            <w:pPr>
              <w:jc w:val="center"/>
            </w:pPr>
            <w:r>
              <w:rPr>
                <w:rFonts w:ascii="Times New Roman" w:hAnsi="Times New Roman" w:eastAsia="Times New Roman" w:cs="Times New Roman"/>
                <w:sz w:val="22"/>
                <w:szCs w:val="22"/>
              </w:rPr>
              <w:t>8.1%</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A20C2C8">
            <w:pPr>
              <w:jc w:val="center"/>
            </w:pPr>
            <w:r>
              <w:rPr>
                <w:rFonts w:ascii="Times New Roman" w:hAnsi="Times New Roman" w:eastAsia="Times New Roman" w:cs="Times New Roman"/>
                <w:sz w:val="22"/>
                <w:szCs w:val="22"/>
              </w:rPr>
              <w:t>Linear interpolation for gaps ≤3 years</w:t>
            </w:r>
          </w:p>
        </w:tc>
      </w:tr>
      <w:tr w14:paraId="179FB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0FDB895">
            <w:pPr>
              <w:jc w:val="center"/>
            </w:pPr>
            <w:r>
              <w:rPr>
                <w:rFonts w:ascii="Times New Roman" w:hAnsi="Times New Roman" w:eastAsia="Times New Roman" w:cs="Times New Roman"/>
                <w:sz w:val="22"/>
                <w:szCs w:val="22"/>
              </w:rPr>
              <w:t>Energy Use</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0E66729C">
            <w:pPr>
              <w:jc w:val="center"/>
            </w:pPr>
            <w:r>
              <w:rPr>
                <w:rFonts w:ascii="Times New Roman" w:hAnsi="Times New Roman" w:eastAsia="Times New Roman" w:cs="Times New Roman"/>
                <w:sz w:val="22"/>
                <w:szCs w:val="22"/>
              </w:rPr>
              <w:t>6,045</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0B284DC">
            <w:pPr>
              <w:jc w:val="center"/>
            </w:pPr>
            <w:r>
              <w:rPr>
                <w:rFonts w:ascii="Times New Roman" w:hAnsi="Times New Roman" w:eastAsia="Times New Roman" w:cs="Times New Roman"/>
                <w:sz w:val="22"/>
                <w:szCs w:val="22"/>
              </w:rPr>
              <w:t>612</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4B33CDF">
            <w:pPr>
              <w:jc w:val="center"/>
            </w:pPr>
            <w:r>
              <w:rPr>
                <w:rFonts w:ascii="Times New Roman" w:hAnsi="Times New Roman" w:eastAsia="Times New Roman" w:cs="Times New Roman"/>
                <w:sz w:val="22"/>
                <w:szCs w:val="22"/>
              </w:rPr>
              <w:t>10.1%</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92F1F9A">
            <w:pPr>
              <w:jc w:val="center"/>
            </w:pPr>
            <w:r>
              <w:rPr>
                <w:rFonts w:ascii="Times New Roman" w:hAnsi="Times New Roman" w:eastAsia="Times New Roman" w:cs="Times New Roman"/>
                <w:sz w:val="22"/>
                <w:szCs w:val="22"/>
              </w:rPr>
              <w:t>Forward fill within country group</w:t>
            </w:r>
          </w:p>
        </w:tc>
      </w:tr>
      <w:tr w14:paraId="52F25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D288854">
            <w:pPr>
              <w:jc w:val="center"/>
            </w:pPr>
            <w:r>
              <w:rPr>
                <w:rFonts w:ascii="Times New Roman" w:hAnsi="Times New Roman" w:eastAsia="Times New Roman" w:cs="Times New Roman"/>
                <w:sz w:val="22"/>
                <w:szCs w:val="22"/>
              </w:rPr>
              <w:t>CO₂ Emissions</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C478AEB">
            <w:pPr>
              <w:jc w:val="center"/>
            </w:pPr>
            <w:r>
              <w:rPr>
                <w:rFonts w:ascii="Times New Roman" w:hAnsi="Times New Roman" w:eastAsia="Times New Roman" w:cs="Times New Roman"/>
                <w:sz w:val="22"/>
                <w:szCs w:val="22"/>
              </w:rPr>
              <w:t>6,045</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9B28B91">
            <w:pPr>
              <w:jc w:val="center"/>
            </w:pPr>
            <w:r>
              <w:rPr>
                <w:rFonts w:ascii="Times New Roman" w:hAnsi="Times New Roman" w:eastAsia="Times New Roman" w:cs="Times New Roman"/>
                <w:sz w:val="22"/>
                <w:szCs w:val="22"/>
              </w:rPr>
              <w:t>538</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5678E86">
            <w:pPr>
              <w:jc w:val="center"/>
            </w:pPr>
            <w:r>
              <w:rPr>
                <w:rFonts w:ascii="Times New Roman" w:hAnsi="Times New Roman" w:eastAsia="Times New Roman" w:cs="Times New Roman"/>
                <w:sz w:val="22"/>
                <w:szCs w:val="22"/>
              </w:rPr>
              <w:t>8.9%</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75B4BC2A">
            <w:pPr>
              <w:jc w:val="center"/>
            </w:pPr>
            <w:r>
              <w:rPr>
                <w:rFonts w:ascii="Times New Roman" w:hAnsi="Times New Roman" w:eastAsia="Times New Roman" w:cs="Times New Roman"/>
                <w:sz w:val="22"/>
                <w:szCs w:val="22"/>
              </w:rPr>
              <w:t>Forward fill + median imputation</w:t>
            </w:r>
          </w:p>
        </w:tc>
      </w:tr>
      <w:tr w14:paraId="0E1A1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0B27622E">
            <w:pPr>
              <w:jc w:val="center"/>
            </w:pPr>
            <w:r>
              <w:rPr>
                <w:rFonts w:ascii="Times New Roman" w:hAnsi="Times New Roman" w:eastAsia="Times New Roman" w:cs="Times New Roman"/>
                <w:sz w:val="22"/>
                <w:szCs w:val="22"/>
              </w:rPr>
              <w:t>Population</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33BE6DC">
            <w:pPr>
              <w:jc w:val="center"/>
            </w:pPr>
            <w:r>
              <w:rPr>
                <w:rFonts w:ascii="Times New Roman" w:hAnsi="Times New Roman" w:eastAsia="Times New Roman" w:cs="Times New Roman"/>
                <w:sz w:val="22"/>
                <w:szCs w:val="22"/>
              </w:rPr>
              <w:t>6,045</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00A59B3">
            <w:pPr>
              <w:jc w:val="center"/>
            </w:pPr>
            <w:r>
              <w:rPr>
                <w:rFonts w:ascii="Times New Roman" w:hAnsi="Times New Roman" w:eastAsia="Times New Roman" w:cs="Times New Roman"/>
                <w:sz w:val="22"/>
                <w:szCs w:val="22"/>
              </w:rPr>
              <w:t>214</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ABA253D">
            <w:pPr>
              <w:jc w:val="center"/>
            </w:pPr>
            <w:r>
              <w:rPr>
                <w:rFonts w:ascii="Times New Roman" w:hAnsi="Times New Roman" w:eastAsia="Times New Roman" w:cs="Times New Roman"/>
                <w:sz w:val="22"/>
                <w:szCs w:val="22"/>
              </w:rPr>
              <w:t>3.5%</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ECC4163">
            <w:pPr>
              <w:jc w:val="center"/>
            </w:pPr>
            <w:r>
              <w:rPr>
                <w:rFonts w:ascii="Times New Roman" w:hAnsi="Times New Roman" w:eastAsia="Times New Roman" w:cs="Times New Roman"/>
                <w:sz w:val="22"/>
                <w:szCs w:val="22"/>
              </w:rPr>
              <w:t>Linear interpolation (high confidence)</w:t>
            </w:r>
          </w:p>
        </w:tc>
      </w:tr>
      <w:tr w14:paraId="54300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3973C74">
            <w:pPr>
              <w:jc w:val="center"/>
            </w:pPr>
            <w:r>
              <w:rPr>
                <w:rFonts w:ascii="Times New Roman" w:hAnsi="Times New Roman" w:eastAsia="Times New Roman" w:cs="Times New Roman"/>
                <w:sz w:val="22"/>
                <w:szCs w:val="22"/>
              </w:rPr>
              <w:t>Freshwater</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2FA6815">
            <w:pPr>
              <w:jc w:val="center"/>
            </w:pPr>
            <w:r>
              <w:rPr>
                <w:rFonts w:ascii="Times New Roman" w:hAnsi="Times New Roman" w:eastAsia="Times New Roman" w:cs="Times New Roman"/>
                <w:sz w:val="22"/>
                <w:szCs w:val="22"/>
              </w:rPr>
              <w:t>6,045</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1D8E5C8">
            <w:pPr>
              <w:jc w:val="center"/>
            </w:pPr>
            <w:r>
              <w:rPr>
                <w:rFonts w:ascii="Times New Roman" w:hAnsi="Times New Roman" w:eastAsia="Times New Roman" w:cs="Times New Roman"/>
                <w:sz w:val="22"/>
                <w:szCs w:val="22"/>
              </w:rPr>
              <w:t>1,893</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ED23AC1">
            <w:pPr>
              <w:jc w:val="center"/>
            </w:pPr>
            <w:r>
              <w:rPr>
                <w:rFonts w:ascii="Times New Roman" w:hAnsi="Times New Roman" w:eastAsia="Times New Roman" w:cs="Times New Roman"/>
                <w:sz w:val="22"/>
                <w:szCs w:val="22"/>
              </w:rPr>
              <w:t>31.3%</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7E57261">
            <w:pPr>
              <w:jc w:val="center"/>
            </w:pPr>
            <w:r>
              <w:rPr>
                <w:rFonts w:ascii="Times New Roman" w:hAnsi="Times New Roman" w:eastAsia="Times New Roman" w:cs="Times New Roman"/>
                <w:sz w:val="22"/>
                <w:szCs w:val="22"/>
              </w:rPr>
              <w:t>Retained as null; excluded from averages</w:t>
            </w:r>
          </w:p>
        </w:tc>
      </w:tr>
      <w:tr w14:paraId="65B83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E061295">
            <w:pPr>
              <w:jc w:val="center"/>
            </w:pPr>
            <w:r>
              <w:rPr>
                <w:rFonts w:ascii="Times New Roman" w:hAnsi="Times New Roman" w:eastAsia="Times New Roman" w:cs="Times New Roman"/>
                <w:sz w:val="22"/>
                <w:szCs w:val="22"/>
              </w:rPr>
              <w:t>Indicator</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8C5494F">
            <w:pPr>
              <w:jc w:val="center"/>
            </w:pPr>
            <w:r>
              <w:rPr>
                <w:rFonts w:ascii="Times New Roman" w:hAnsi="Times New Roman" w:eastAsia="Times New Roman" w:cs="Times New Roman"/>
                <w:sz w:val="22"/>
                <w:szCs w:val="22"/>
              </w:rPr>
              <w:t>6,045</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0C8B6F12">
            <w:pPr>
              <w:jc w:val="center"/>
            </w:pPr>
            <w:r>
              <w:rPr>
                <w:rFonts w:ascii="Times New Roman" w:hAnsi="Times New Roman" w:eastAsia="Times New Roman" w:cs="Times New Roman"/>
                <w:sz w:val="22"/>
                <w:szCs w:val="22"/>
              </w:rPr>
              <w:t>0</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3D04DF2">
            <w:pPr>
              <w:jc w:val="center"/>
            </w:pPr>
            <w:r>
              <w:rPr>
                <w:rFonts w:ascii="Times New Roman" w:hAnsi="Times New Roman" w:eastAsia="Times New Roman" w:cs="Times New Roman"/>
                <w:sz w:val="22"/>
                <w:szCs w:val="22"/>
              </w:rPr>
              <w:t>0.0%</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CDF7B25">
            <w:pPr>
              <w:jc w:val="center"/>
            </w:pPr>
            <w:r>
              <w:rPr>
                <w:rFonts w:ascii="Times New Roman" w:hAnsi="Times New Roman" w:eastAsia="Times New Roman" w:cs="Times New Roman"/>
                <w:sz w:val="22"/>
                <w:szCs w:val="22"/>
              </w:rPr>
              <w:t>No treatment required</w:t>
            </w:r>
          </w:p>
        </w:tc>
      </w:tr>
      <w:tr w14:paraId="6960B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0113739">
            <w:pPr>
              <w:jc w:val="center"/>
            </w:pPr>
            <w:r>
              <w:rPr>
                <w:rFonts w:ascii="Times New Roman" w:hAnsi="Times New Roman" w:eastAsia="Times New Roman" w:cs="Times New Roman"/>
                <w:sz w:val="22"/>
                <w:szCs w:val="22"/>
              </w:rPr>
              <w:t>Country</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B8A9960">
            <w:pPr>
              <w:jc w:val="center"/>
            </w:pPr>
            <w:r>
              <w:rPr>
                <w:rFonts w:ascii="Times New Roman" w:hAnsi="Times New Roman" w:eastAsia="Times New Roman" w:cs="Times New Roman"/>
                <w:sz w:val="22"/>
                <w:szCs w:val="22"/>
              </w:rPr>
              <w:t>6,045</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7F14CD68">
            <w:pPr>
              <w:jc w:val="center"/>
            </w:pPr>
            <w:r>
              <w:rPr>
                <w:rFonts w:ascii="Times New Roman" w:hAnsi="Times New Roman" w:eastAsia="Times New Roman" w:cs="Times New Roman"/>
                <w:sz w:val="22"/>
                <w:szCs w:val="22"/>
              </w:rPr>
              <w:t>0</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0C37940">
            <w:pPr>
              <w:jc w:val="center"/>
            </w:pPr>
            <w:r>
              <w:rPr>
                <w:rFonts w:ascii="Times New Roman" w:hAnsi="Times New Roman" w:eastAsia="Times New Roman" w:cs="Times New Roman"/>
                <w:sz w:val="22"/>
                <w:szCs w:val="22"/>
              </w:rPr>
              <w:t>0.0%</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6EBCCF7">
            <w:pPr>
              <w:jc w:val="center"/>
            </w:pPr>
            <w:r>
              <w:rPr>
                <w:rFonts w:ascii="Times New Roman" w:hAnsi="Times New Roman" w:eastAsia="Times New Roman" w:cs="Times New Roman"/>
                <w:sz w:val="22"/>
                <w:szCs w:val="22"/>
              </w:rPr>
              <w:t>No treatment required</w:t>
            </w:r>
          </w:p>
        </w:tc>
      </w:tr>
    </w:tbl>
    <w:p w14:paraId="5D5BDB79"/>
    <w:p w14:paraId="546DB2B5">
      <w:pPr>
        <w:spacing w:before="0" w:after="160" w:line="360" w:lineRule="auto"/>
        <w:jc w:val="both"/>
      </w:pPr>
      <w:r>
        <w:rPr>
          <w:rFonts w:ascii="Times New Roman" w:hAnsi="Times New Roman" w:eastAsia="Times New Roman" w:cs="Times New Roman"/>
          <w:b w:val="0"/>
          <w:bCs w:val="0"/>
          <w:i w:val="0"/>
          <w:iCs w:val="0"/>
          <w:sz w:val="24"/>
          <w:szCs w:val="24"/>
        </w:rPr>
        <w:t>For the GDP, CO₂, and Population columns, where missing values affected fewer than 10% of records, a combination of linear interpolation (for internal gaps of up to three consecutive years) and forward-fill imputation (carrying the most recent valid value forward for short end-of-series gaps) was applied within each country group using Power Query's Group By functionality combined with a custom M-language function.</w:t>
      </w:r>
    </w:p>
    <w:p w14:paraId="53992A98">
      <w:pPr>
        <w:spacing w:before="0" w:after="160" w:line="360" w:lineRule="auto"/>
        <w:jc w:val="both"/>
      </w:pPr>
      <w:r>
        <w:rPr>
          <w:rFonts w:ascii="Times New Roman" w:hAnsi="Times New Roman" w:eastAsia="Times New Roman" w:cs="Times New Roman"/>
          <w:b w:val="0"/>
          <w:bCs w:val="0"/>
          <w:i w:val="0"/>
          <w:iCs w:val="0"/>
          <w:sz w:val="24"/>
          <w:szCs w:val="24"/>
        </w:rPr>
        <w:t>For the Freshwater column, where the missing rate exceeded 31%, a more conservative approach was adopted. Given the high uncertainty associated with imputing nearly one-third of the data series, Freshwater values were retained as null where missing and excluded from aggregate calculations and averages. This approach sacrifices some completeness but preserves the analytical integrity of the freshwater-specific analyses, which are grounded in the available observed data rather than modeled estimates.</w:t>
      </w:r>
    </w:p>
    <w:p w14:paraId="7AED1F4C">
      <w:pPr>
        <w:pStyle w:val="3"/>
        <w:spacing w:before="280" w:after="160"/>
      </w:pPr>
      <w:r>
        <w:rPr>
          <w:rFonts w:ascii="Times New Roman" w:hAnsi="Times New Roman" w:eastAsia="Times New Roman" w:cs="Times New Roman"/>
          <w:b/>
          <w:bCs/>
          <w:sz w:val="28"/>
          <w:szCs w:val="28"/>
        </w:rPr>
        <w:t>3.3 Feature Engineering</w:t>
      </w:r>
    </w:p>
    <w:p w14:paraId="2FC722C1">
      <w:pPr>
        <w:spacing w:before="0" w:after="160" w:line="360" w:lineRule="auto"/>
        <w:jc w:val="both"/>
      </w:pPr>
      <w:r>
        <w:rPr>
          <w:rFonts w:ascii="Times New Roman" w:hAnsi="Times New Roman" w:eastAsia="Times New Roman" w:cs="Times New Roman"/>
          <w:b w:val="0"/>
          <w:bCs w:val="0"/>
          <w:i w:val="0"/>
          <w:iCs w:val="0"/>
          <w:sz w:val="24"/>
          <w:szCs w:val="24"/>
        </w:rPr>
        <w:t>Feature engineering involves the creation of new derived variables from the raw data that capture analytically relevant information not directly observable in the original columns. In this project, several calculated columns and measures were engineered using DAX (Data Analysis Expressions) within the Power BI data model.</w:t>
      </w:r>
    </w:p>
    <w:p w14:paraId="313D1C58"/>
    <w:p w14:paraId="3C465917">
      <w:pPr>
        <w:spacing w:before="80" w:after="80"/>
        <w:jc w:val="center"/>
      </w:pPr>
      <w:r>
        <w:rPr>
          <w:rFonts w:ascii="Times New Roman" w:hAnsi="Times New Roman" w:eastAsia="Times New Roman" w:cs="Times New Roman"/>
          <w:b/>
          <w:bCs/>
          <w:sz w:val="22"/>
          <w:szCs w:val="22"/>
        </w:rPr>
        <w:t>Table 4: Feature Engineering – Derived Variables and Formulas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1156E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008"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140D27DC">
            <w:pPr>
              <w:jc w:val="center"/>
            </w:pPr>
            <w:r>
              <w:rPr>
                <w:rFonts w:ascii="Times New Roman" w:hAnsi="Times New Roman" w:eastAsia="Times New Roman" w:cs="Times New Roman"/>
                <w:b/>
                <w:bCs/>
                <w:color w:val="FFFFFF"/>
                <w:sz w:val="22"/>
                <w:szCs w:val="22"/>
              </w:rPr>
              <w:t>Variable Name</w:t>
            </w:r>
          </w:p>
        </w:tc>
        <w:tc>
          <w:tcPr>
            <w:tcW w:w="3008"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47FD48B7">
            <w:pPr>
              <w:jc w:val="center"/>
            </w:pPr>
            <w:r>
              <w:rPr>
                <w:rFonts w:ascii="Times New Roman" w:hAnsi="Times New Roman" w:eastAsia="Times New Roman" w:cs="Times New Roman"/>
                <w:b/>
                <w:bCs/>
                <w:color w:val="FFFFFF"/>
                <w:sz w:val="22"/>
                <w:szCs w:val="22"/>
              </w:rPr>
              <w:t>Formula / Logic</w:t>
            </w:r>
          </w:p>
        </w:tc>
        <w:tc>
          <w:tcPr>
            <w:tcW w:w="3008"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7E773C6F">
            <w:pPr>
              <w:jc w:val="center"/>
            </w:pPr>
            <w:r>
              <w:rPr>
                <w:rFonts w:ascii="Times New Roman" w:hAnsi="Times New Roman" w:eastAsia="Times New Roman" w:cs="Times New Roman"/>
                <w:b/>
                <w:bCs/>
                <w:color w:val="FFFFFF"/>
                <w:sz w:val="22"/>
                <w:szCs w:val="22"/>
              </w:rPr>
              <w:t>Purpose</w:t>
            </w:r>
          </w:p>
        </w:tc>
      </w:tr>
      <w:tr w14:paraId="16218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2DDD3C7">
            <w:pPr>
              <w:jc w:val="center"/>
            </w:pPr>
            <w:r>
              <w:rPr>
                <w:rFonts w:ascii="Times New Roman" w:hAnsi="Times New Roman" w:eastAsia="Times New Roman" w:cs="Times New Roman"/>
                <w:sz w:val="22"/>
                <w:szCs w:val="22"/>
              </w:rPr>
              <w:t>GDP Per Capita</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F307F1E">
            <w:pPr>
              <w:jc w:val="center"/>
            </w:pPr>
            <w:r>
              <w:rPr>
                <w:rFonts w:ascii="Times New Roman" w:hAnsi="Times New Roman" w:eastAsia="Times New Roman" w:cs="Times New Roman"/>
                <w:sz w:val="22"/>
                <w:szCs w:val="22"/>
              </w:rPr>
              <w:t>GDP / Population</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26D2E64">
            <w:pPr>
              <w:jc w:val="center"/>
            </w:pPr>
            <w:r>
              <w:rPr>
                <w:rFonts w:ascii="Times New Roman" w:hAnsi="Times New Roman" w:eastAsia="Times New Roman" w:cs="Times New Roman"/>
                <w:sz w:val="22"/>
                <w:szCs w:val="22"/>
              </w:rPr>
              <w:t>Normalize economic size by population</w:t>
            </w:r>
          </w:p>
        </w:tc>
      </w:tr>
      <w:tr w14:paraId="7BF99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B2F0831">
            <w:pPr>
              <w:jc w:val="center"/>
            </w:pPr>
            <w:r>
              <w:rPr>
                <w:rFonts w:ascii="Times New Roman" w:hAnsi="Times New Roman" w:eastAsia="Times New Roman" w:cs="Times New Roman"/>
                <w:sz w:val="22"/>
                <w:szCs w:val="22"/>
              </w:rPr>
              <w:t>CO₂ per GDP Unit</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A1B5559">
            <w:pPr>
              <w:jc w:val="center"/>
            </w:pPr>
            <w:r>
              <w:rPr>
                <w:rFonts w:ascii="Times New Roman" w:hAnsi="Times New Roman" w:eastAsia="Times New Roman" w:cs="Times New Roman"/>
                <w:sz w:val="22"/>
                <w:szCs w:val="22"/>
              </w:rPr>
              <w:t>CO2 Emissions / GDP * 1,000,000</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EC70971">
            <w:pPr>
              <w:jc w:val="center"/>
            </w:pPr>
            <w:r>
              <w:rPr>
                <w:rFonts w:ascii="Times New Roman" w:hAnsi="Times New Roman" w:eastAsia="Times New Roman" w:cs="Times New Roman"/>
                <w:sz w:val="22"/>
                <w:szCs w:val="22"/>
              </w:rPr>
              <w:t>Carbon intensity of economic output</w:t>
            </w:r>
          </w:p>
        </w:tc>
      </w:tr>
      <w:tr w14:paraId="4280D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85774FE">
            <w:pPr>
              <w:jc w:val="center"/>
            </w:pPr>
            <w:r>
              <w:rPr>
                <w:rFonts w:ascii="Times New Roman" w:hAnsi="Times New Roman" w:eastAsia="Times New Roman" w:cs="Times New Roman"/>
                <w:sz w:val="22"/>
                <w:szCs w:val="22"/>
              </w:rPr>
              <w:t>Energy Intensity</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B6A7796">
            <w:pPr>
              <w:jc w:val="center"/>
            </w:pPr>
            <w:r>
              <w:rPr>
                <w:rFonts w:ascii="Times New Roman" w:hAnsi="Times New Roman" w:eastAsia="Times New Roman" w:cs="Times New Roman"/>
                <w:sz w:val="22"/>
                <w:szCs w:val="22"/>
              </w:rPr>
              <w:t>Energy Use / GDP * 1,000,000</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50CC014">
            <w:pPr>
              <w:jc w:val="center"/>
            </w:pPr>
            <w:r>
              <w:rPr>
                <w:rFonts w:ascii="Times New Roman" w:hAnsi="Times New Roman" w:eastAsia="Times New Roman" w:cs="Times New Roman"/>
                <w:sz w:val="22"/>
                <w:szCs w:val="22"/>
              </w:rPr>
              <w:t>Energy required per unit of GDP</w:t>
            </w:r>
          </w:p>
        </w:tc>
      </w:tr>
      <w:tr w14:paraId="210D2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610559A6">
            <w:pPr>
              <w:jc w:val="center"/>
            </w:pPr>
            <w:r>
              <w:rPr>
                <w:rFonts w:ascii="Times New Roman" w:hAnsi="Times New Roman" w:eastAsia="Times New Roman" w:cs="Times New Roman"/>
                <w:sz w:val="22"/>
                <w:szCs w:val="22"/>
              </w:rPr>
              <w:t>YoY GDP Growth %</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0A4298B">
            <w:pPr>
              <w:jc w:val="center"/>
            </w:pPr>
            <w:r>
              <w:rPr>
                <w:rFonts w:ascii="Times New Roman" w:hAnsi="Times New Roman" w:eastAsia="Times New Roman" w:cs="Times New Roman"/>
                <w:sz w:val="22"/>
                <w:szCs w:val="22"/>
              </w:rPr>
              <w:t>(GDP_t - GDP_{t-1}) / GDP_{t-1} * 100</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53C69D6">
            <w:pPr>
              <w:jc w:val="center"/>
            </w:pPr>
            <w:r>
              <w:rPr>
                <w:rFonts w:ascii="Times New Roman" w:hAnsi="Times New Roman" w:eastAsia="Times New Roman" w:cs="Times New Roman"/>
                <w:sz w:val="22"/>
                <w:szCs w:val="22"/>
              </w:rPr>
              <w:t>Annual GDP growth rate</w:t>
            </w:r>
          </w:p>
        </w:tc>
      </w:tr>
      <w:tr w14:paraId="03C63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6739A0B">
            <w:pPr>
              <w:jc w:val="center"/>
            </w:pPr>
            <w:r>
              <w:rPr>
                <w:rFonts w:ascii="Times New Roman" w:hAnsi="Times New Roman" w:eastAsia="Times New Roman" w:cs="Times New Roman"/>
                <w:sz w:val="22"/>
                <w:szCs w:val="22"/>
              </w:rPr>
              <w:t>YoY Population Growth %</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EA1F1E6">
            <w:pPr>
              <w:jc w:val="center"/>
            </w:pPr>
            <w:r>
              <w:rPr>
                <w:rFonts w:ascii="Times New Roman" w:hAnsi="Times New Roman" w:eastAsia="Times New Roman" w:cs="Times New Roman"/>
                <w:sz w:val="22"/>
                <w:szCs w:val="22"/>
              </w:rPr>
              <w:t>(Pop_t - Pop_{t-1}) / Pop_{t-1} * 100</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BB3722A">
            <w:pPr>
              <w:jc w:val="center"/>
            </w:pPr>
            <w:r>
              <w:rPr>
                <w:rFonts w:ascii="Times New Roman" w:hAnsi="Times New Roman" w:eastAsia="Times New Roman" w:cs="Times New Roman"/>
                <w:sz w:val="22"/>
                <w:szCs w:val="22"/>
              </w:rPr>
              <w:t>Annual population growth rate</w:t>
            </w:r>
          </w:p>
        </w:tc>
      </w:tr>
      <w:tr w14:paraId="49C49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04F55211">
            <w:pPr>
              <w:jc w:val="center"/>
            </w:pPr>
            <w:r>
              <w:rPr>
                <w:rFonts w:ascii="Times New Roman" w:hAnsi="Times New Roman" w:eastAsia="Times New Roman" w:cs="Times New Roman"/>
                <w:sz w:val="22"/>
                <w:szCs w:val="22"/>
              </w:rPr>
              <w:t>Water Stress Category</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028D9F0">
            <w:pPr>
              <w:jc w:val="center"/>
            </w:pPr>
            <w:r>
              <w:rPr>
                <w:rFonts w:ascii="Times New Roman" w:hAnsi="Times New Roman" w:eastAsia="Times New Roman" w:cs="Times New Roman"/>
                <w:sz w:val="22"/>
                <w:szCs w:val="22"/>
              </w:rPr>
              <w:t>IF(Freshwater &lt; 10, "Low", IF(Freshwater &lt; 40, "Moderate", IF(Freshwater &lt; 80, "High", "Critical")))</w:t>
            </w:r>
          </w:p>
        </w:tc>
        <w:tc>
          <w:tcPr>
            <w:tcW w:w="300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70CFB7E">
            <w:pPr>
              <w:jc w:val="center"/>
            </w:pPr>
            <w:r>
              <w:rPr>
                <w:rFonts w:ascii="Times New Roman" w:hAnsi="Times New Roman" w:eastAsia="Times New Roman" w:cs="Times New Roman"/>
                <w:sz w:val="22"/>
                <w:szCs w:val="22"/>
              </w:rPr>
              <w:t>Categorical water stress classification</w:t>
            </w:r>
          </w:p>
        </w:tc>
      </w:tr>
      <w:tr w14:paraId="6CB3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B385BDB">
            <w:pPr>
              <w:jc w:val="center"/>
            </w:pPr>
            <w:r>
              <w:rPr>
                <w:rFonts w:ascii="Times New Roman" w:hAnsi="Times New Roman" w:eastAsia="Times New Roman" w:cs="Times New Roman"/>
                <w:sz w:val="22"/>
                <w:szCs w:val="22"/>
              </w:rPr>
              <w:t>Decade Group</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73E46A6C">
            <w:pPr>
              <w:jc w:val="center"/>
            </w:pPr>
            <w:r>
              <w:rPr>
                <w:rFonts w:ascii="Times New Roman" w:hAnsi="Times New Roman" w:eastAsia="Times New Roman" w:cs="Times New Roman"/>
                <w:sz w:val="22"/>
                <w:szCs w:val="22"/>
              </w:rPr>
              <w:t>IF(Year &lt; 2000, "1990s", IF(Year &lt; 2010, "2000s", "2010s"))</w:t>
            </w:r>
          </w:p>
        </w:tc>
        <w:tc>
          <w:tcPr>
            <w:tcW w:w="3008"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7DD85A2A">
            <w:pPr>
              <w:jc w:val="center"/>
            </w:pPr>
            <w:r>
              <w:rPr>
                <w:rFonts w:ascii="Times New Roman" w:hAnsi="Times New Roman" w:eastAsia="Times New Roman" w:cs="Times New Roman"/>
                <w:sz w:val="22"/>
                <w:szCs w:val="22"/>
              </w:rPr>
              <w:t>Temporal segmentation for cohort analysis</w:t>
            </w:r>
          </w:p>
        </w:tc>
      </w:tr>
    </w:tbl>
    <w:p w14:paraId="2ED7313D"/>
    <w:p w14:paraId="00D35892">
      <w:pPr>
        <w:spacing w:before="0" w:after="160" w:line="360" w:lineRule="auto"/>
        <w:jc w:val="both"/>
      </w:pPr>
      <w:r>
        <w:rPr>
          <w:rFonts w:ascii="Times New Roman" w:hAnsi="Times New Roman" w:eastAsia="Times New Roman" w:cs="Times New Roman"/>
          <w:b w:val="0"/>
          <w:bCs w:val="0"/>
          <w:i w:val="0"/>
          <w:iCs w:val="0"/>
          <w:sz w:val="24"/>
          <w:szCs w:val="24"/>
        </w:rPr>
        <w:t>These derived variables significantly enhanced the analytical power of the dataset by enabling ratio-based comparisons (GDP per capita, carbon intensity, energy intensity) and categorical segmentation (water stress categories, decade groups) that are not possible using the raw indicator values alone. The DAX measures were defined at the data model level, ensuring that they are dynamically recalculated in response to user-applied slicer filters, thereby supporting fully interactive analysis in the dashboard.</w:t>
      </w:r>
    </w:p>
    <w:p w14:paraId="572F366D">
      <w:pPr>
        <w:pStyle w:val="3"/>
        <w:spacing w:before="280" w:after="160"/>
      </w:pPr>
      <w:r>
        <w:rPr>
          <w:rFonts w:ascii="Times New Roman" w:hAnsi="Times New Roman" w:eastAsia="Times New Roman" w:cs="Times New Roman"/>
          <w:b/>
          <w:bCs/>
          <w:sz w:val="28"/>
          <w:szCs w:val="28"/>
        </w:rPr>
        <w:t>3.4 Tools Used</w:t>
      </w:r>
    </w:p>
    <w:p w14:paraId="7937E187">
      <w:pPr>
        <w:spacing w:before="0" w:after="160" w:line="360" w:lineRule="auto"/>
        <w:jc w:val="both"/>
      </w:pPr>
      <w:r>
        <w:rPr>
          <w:rFonts w:ascii="Times New Roman" w:hAnsi="Times New Roman" w:eastAsia="Times New Roman" w:cs="Times New Roman"/>
          <w:b w:val="0"/>
          <w:bCs w:val="0"/>
          <w:i w:val="0"/>
          <w:iCs w:val="0"/>
          <w:sz w:val="24"/>
          <w:szCs w:val="24"/>
        </w:rPr>
        <w:t>The preprocessing and analytical workflows in this project were executed using the following tools and technologies:</w:t>
      </w:r>
    </w:p>
    <w:p w14:paraId="528B12E9">
      <w:pPr>
        <w:pStyle w:val="4"/>
        <w:spacing w:before="240" w:after="120"/>
      </w:pPr>
      <w:r>
        <w:rPr>
          <w:rFonts w:ascii="Times New Roman" w:hAnsi="Times New Roman" w:eastAsia="Times New Roman" w:cs="Times New Roman"/>
          <w:b/>
          <w:bCs/>
          <w:sz w:val="26"/>
          <w:szCs w:val="26"/>
        </w:rPr>
        <w:t>3.4.1 Microsoft Power BI Desktop</w:t>
      </w:r>
    </w:p>
    <w:p w14:paraId="5B93F346">
      <w:pPr>
        <w:spacing w:before="0" w:after="160" w:line="360" w:lineRule="auto"/>
        <w:jc w:val="both"/>
      </w:pPr>
      <w:r>
        <w:rPr>
          <w:rFonts w:ascii="Times New Roman" w:hAnsi="Times New Roman" w:eastAsia="Times New Roman" w:cs="Times New Roman"/>
          <w:b w:val="0"/>
          <w:bCs w:val="0"/>
          <w:i w:val="0"/>
          <w:iCs w:val="0"/>
          <w:sz w:val="24"/>
          <w:szCs w:val="24"/>
        </w:rPr>
        <w:t>Power BI Desktop served as the primary integrated development environment for this project. The Power Query Editor within Power BI Desktop was used for all data ingestion, cleaning, transformation, and feature engineering operations. The data model and DAX calculations were constructed and validated within the Power BI data modeling interface. The report canvas was used to design and lay out all visual components of the interactive dashboard. Power BI Desktop is a free application provided by Microsoft and represents the industry standard for self-service business intelligence and data visualization.</w:t>
      </w:r>
    </w:p>
    <w:p w14:paraId="06611EB7">
      <w:pPr>
        <w:pStyle w:val="4"/>
        <w:spacing w:before="240" w:after="120"/>
      </w:pPr>
      <w:r>
        <w:rPr>
          <w:rFonts w:ascii="Times New Roman" w:hAnsi="Times New Roman" w:eastAsia="Times New Roman" w:cs="Times New Roman"/>
          <w:b/>
          <w:bCs/>
          <w:sz w:val="26"/>
          <w:szCs w:val="26"/>
        </w:rPr>
        <w:t>3.4.2 Microsoft Excel</w:t>
      </w:r>
    </w:p>
    <w:p w14:paraId="1835D705">
      <w:pPr>
        <w:spacing w:before="0" w:after="160" w:line="360" w:lineRule="auto"/>
        <w:jc w:val="both"/>
      </w:pPr>
      <w:r>
        <w:rPr>
          <w:rFonts w:ascii="Times New Roman" w:hAnsi="Times New Roman" w:eastAsia="Times New Roman" w:cs="Times New Roman"/>
          <w:b w:val="0"/>
          <w:bCs w:val="0"/>
          <w:i w:val="0"/>
          <w:iCs w:val="0"/>
          <w:sz w:val="24"/>
          <w:szCs w:val="24"/>
        </w:rPr>
        <w:t>Microsoft Excel was employed as a supplementary tool for initial data exploration and the preparation of lookup tables used in the country name standardization process. Excel's VLOOKUP and conditional formatting features were used to manually identify and catalogue country name variants prior to importing the mapping table into Power Query.</w:t>
      </w:r>
    </w:p>
    <w:p w14:paraId="19685153">
      <w:pPr>
        <w:pStyle w:val="4"/>
        <w:spacing w:before="240" w:after="120"/>
      </w:pPr>
      <w:r>
        <w:rPr>
          <w:rFonts w:ascii="Times New Roman" w:hAnsi="Times New Roman" w:eastAsia="Times New Roman" w:cs="Times New Roman"/>
          <w:b/>
          <w:bCs/>
          <w:sz w:val="26"/>
          <w:szCs w:val="26"/>
        </w:rPr>
        <w:t>3.4.3 Power Query M Language</w:t>
      </w:r>
    </w:p>
    <w:p w14:paraId="58D110EB">
      <w:pPr>
        <w:spacing w:before="0" w:after="160" w:line="360" w:lineRule="auto"/>
        <w:jc w:val="both"/>
      </w:pPr>
      <w:r>
        <w:rPr>
          <w:rFonts w:ascii="Times New Roman" w:hAnsi="Times New Roman" w:eastAsia="Times New Roman" w:cs="Times New Roman"/>
          <w:b w:val="0"/>
          <w:bCs w:val="0"/>
          <w:i w:val="0"/>
          <w:iCs w:val="0"/>
          <w:sz w:val="24"/>
          <w:szCs w:val="24"/>
        </w:rPr>
        <w:t>Power Query M is a functional programming language designed for data transformation within the Microsoft ecosystem. Custom M functions were written to implement the linear interpolation logic for missing value imputation and to perform the country-level grouping and sorting operations required for the temporal preprocessing steps. M-language code is embedded within Power Query steps and executes as part of the automated data refresh pipeline.</w:t>
      </w:r>
    </w:p>
    <w:p w14:paraId="0C8B18D8">
      <w:pPr>
        <w:pStyle w:val="4"/>
        <w:spacing w:before="240" w:after="120"/>
      </w:pPr>
      <w:r>
        <w:rPr>
          <w:rFonts w:ascii="Times New Roman" w:hAnsi="Times New Roman" w:eastAsia="Times New Roman" w:cs="Times New Roman"/>
          <w:b/>
          <w:bCs/>
          <w:sz w:val="26"/>
          <w:szCs w:val="26"/>
        </w:rPr>
        <w:t>3.4.4 DAX (Data Analysis Expressions)</w:t>
      </w:r>
    </w:p>
    <w:p w14:paraId="2079DD85">
      <w:pPr>
        <w:spacing w:before="0" w:after="160" w:line="360" w:lineRule="auto"/>
        <w:jc w:val="both"/>
      </w:pPr>
      <w:r>
        <w:rPr>
          <w:rFonts w:ascii="Times New Roman" w:hAnsi="Times New Roman" w:eastAsia="Times New Roman" w:cs="Times New Roman"/>
          <w:b w:val="0"/>
          <w:bCs w:val="0"/>
          <w:i w:val="0"/>
          <w:iCs w:val="0"/>
          <w:sz w:val="24"/>
          <w:szCs w:val="24"/>
        </w:rPr>
        <w:t>DAX is a formula language used within Power BI, Power Pivot, and Analysis Services to define calculated columns, measures, and KPIs in the data model. In this project, DAX was used extensively to define all derived variables, including year-over-year growth rates, per capita normalizations, and the water stress categorical classification. DAX measures were designed to respect filter context, ensuring correct behavior within the interactive slicer-driven dashboard environment.</w:t>
      </w:r>
    </w:p>
    <w:p w14:paraId="22CD29A1">
      <w:r>
        <w:br w:type="page"/>
      </w:r>
    </w:p>
    <w:p w14:paraId="18B00C21">
      <w:pPr>
        <w:pStyle w:val="2"/>
        <w:spacing w:before="320" w:after="200"/>
      </w:pPr>
      <w:r>
        <w:rPr>
          <w:rFonts w:ascii="Times New Roman" w:hAnsi="Times New Roman" w:eastAsia="Times New Roman" w:cs="Times New Roman"/>
          <w:b/>
          <w:bCs/>
          <w:sz w:val="32"/>
          <w:szCs w:val="32"/>
        </w:rPr>
        <w:t>CHAPTER 4: ANALYSIS ON DATASET</w:t>
      </w:r>
    </w:p>
    <w:p w14:paraId="0DEF63A5">
      <w:pPr>
        <w:pBdr>
          <w:bottom w:val="single" w:color="2E75B6" w:sz="4" w:space="1"/>
        </w:pBdr>
        <w:spacing w:before="100" w:after="100"/>
      </w:pPr>
    </w:p>
    <w:p w14:paraId="07779609">
      <w:pPr>
        <w:spacing w:before="0" w:after="160" w:line="360" w:lineRule="auto"/>
        <w:jc w:val="both"/>
      </w:pPr>
      <w:r>
        <w:rPr>
          <w:rFonts w:ascii="Times New Roman" w:hAnsi="Times New Roman" w:eastAsia="Times New Roman" w:cs="Times New Roman"/>
          <w:b w:val="0"/>
          <w:bCs w:val="0"/>
          <w:i w:val="0"/>
          <w:iCs w:val="0"/>
          <w:sz w:val="24"/>
          <w:szCs w:val="24"/>
        </w:rPr>
        <w:t>This chapter constitutes the core analytical contribution of the project. It presents a systematic, objective-by-objective examination of the Global Economic Indicators dataset, supported by detailed descriptions of the analytical methodology, step-by-step procedures, visualization interpretations, and data-driven insights. The chapter is organized around the five research objectives defined in Chapter 1, each of which is addressed through a dedicated sub-section that conforms to the prescribed structure: General Description, Specific Requirements, Step-by-Step Analysis, Interpretation of Results, and Visualization Explanation.</w:t>
      </w:r>
    </w:p>
    <w:p w14:paraId="39517C3B">
      <w:pPr>
        <w:spacing w:before="0" w:after="160" w:line="360" w:lineRule="auto"/>
        <w:jc w:val="both"/>
      </w:pPr>
      <w:r>
        <w:rPr>
          <w:rFonts w:ascii="Times New Roman" w:hAnsi="Times New Roman" w:eastAsia="Times New Roman" w:cs="Times New Roman"/>
          <w:b w:val="0"/>
          <w:bCs w:val="0"/>
          <w:i w:val="0"/>
          <w:iCs w:val="0"/>
          <w:sz w:val="24"/>
          <w:szCs w:val="24"/>
        </w:rPr>
        <w:t>The analyses leverage the full analytical capacity of the Power BI report, including interactive slicers for country, year, and indicator selection; KPI card visuals for headline metric summarization; line charts for temporal trend analysis; donut charts for share and composition analysis; geographic maps for spatial pattern visualization; and composite multi-indicator charts for cross-variable relationship exploration.</w:t>
      </w:r>
    </w:p>
    <w:p w14:paraId="6035B5C3">
      <w:pPr>
        <w:spacing w:before="80" w:after="200"/>
        <w:jc w:val="center"/>
        <w:rPr>
          <w:rFonts w:hint="default"/>
          <w:lang w:val="en-US"/>
        </w:rPr>
      </w:pPr>
      <w:r>
        <w:drawing>
          <wp:inline distT="0" distB="0" distL="114300" distR="114300">
            <wp:extent cx="5495925" cy="3052445"/>
            <wp:effectExtent l="0" t="0" r="571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95925" cy="3052445"/>
                    </a:xfrm>
                    <a:prstGeom prst="rect">
                      <a:avLst/>
                    </a:prstGeom>
                    <a:noFill/>
                    <a:ln>
                      <a:noFill/>
                    </a:ln>
                  </pic:spPr>
                </pic:pic>
              </a:graphicData>
            </a:graphic>
          </wp:inline>
        </w:drawing>
      </w:r>
      <w:r>
        <w:rPr>
          <w:rFonts w:ascii="Times New Roman" w:hAnsi="Times New Roman" w:eastAsia="Times New Roman" w:cs="Times New Roman"/>
          <w:b/>
          <w:bCs/>
          <w:i/>
          <w:iCs/>
          <w:sz w:val="22"/>
          <w:szCs w:val="22"/>
        </w:rPr>
        <w:t>Figure 1: Complete Power BI Dashboard Showing All Visuals, KPI Cards, Slicers, and the World Map Visual</w:t>
      </w:r>
    </w:p>
    <w:p w14:paraId="1985ED0D">
      <w:pPr>
        <w:pStyle w:val="3"/>
        <w:spacing w:before="280" w:after="160"/>
      </w:pPr>
      <w:r>
        <w:rPr>
          <w:rFonts w:ascii="Times New Roman" w:hAnsi="Times New Roman" w:eastAsia="Times New Roman" w:cs="Times New Roman"/>
          <w:b/>
          <w:bCs/>
          <w:sz w:val="28"/>
          <w:szCs w:val="28"/>
        </w:rPr>
        <w:t>4.1 Objective 1 – GDP Trend Analysis Across Countries</w:t>
      </w:r>
    </w:p>
    <w:p w14:paraId="2B312833">
      <w:pPr>
        <w:pStyle w:val="4"/>
        <w:spacing w:before="240" w:after="120"/>
      </w:pPr>
      <w:r>
        <w:rPr>
          <w:rFonts w:ascii="Times New Roman" w:hAnsi="Times New Roman" w:eastAsia="Times New Roman" w:cs="Times New Roman"/>
          <w:b/>
          <w:bCs/>
          <w:sz w:val="26"/>
          <w:szCs w:val="26"/>
        </w:rPr>
        <w:t>4.1.1 General Description</w:t>
      </w:r>
    </w:p>
    <w:p w14:paraId="699EF149">
      <w:pPr>
        <w:spacing w:before="0" w:after="160" w:line="360" w:lineRule="auto"/>
        <w:jc w:val="both"/>
      </w:pPr>
      <w:r>
        <w:rPr>
          <w:rFonts w:ascii="Times New Roman" w:hAnsi="Times New Roman" w:eastAsia="Times New Roman" w:cs="Times New Roman"/>
          <w:b w:val="0"/>
          <w:bCs w:val="0"/>
          <w:i w:val="0"/>
          <w:iCs w:val="0"/>
          <w:sz w:val="24"/>
          <w:szCs w:val="24"/>
        </w:rPr>
        <w:t>Gross Domestic Product (GDP) is universally recognized as the most comprehensive single-figure indicator of the size and performance of a national economy. For this objective, the analysis focuses on understanding how GDP values have evolved over the thirty-year study period (1990–2020) for a representative selection of countries spanning different income levels, geographic regions, and development trajectories. By examining GDP trends over time and across countries, the analysis aims to identify which economies have experienced sustained growth, which have undergone transformative economic expansion (as in the case of China), and which have suffered prolonged stagnation or contraction.</w:t>
      </w:r>
    </w:p>
    <w:p w14:paraId="280332A1">
      <w:pPr>
        <w:spacing w:before="0" w:after="160" w:line="360" w:lineRule="auto"/>
        <w:jc w:val="both"/>
      </w:pPr>
      <w:r>
        <w:rPr>
          <w:rFonts w:ascii="Times New Roman" w:hAnsi="Times New Roman" w:eastAsia="Times New Roman" w:cs="Times New Roman"/>
          <w:b w:val="0"/>
          <w:bCs w:val="0"/>
          <w:i w:val="0"/>
          <w:iCs w:val="0"/>
          <w:sz w:val="24"/>
          <w:szCs w:val="24"/>
        </w:rPr>
        <w:t>The GDP analysis is also complemented by the examination of derived metrics such as year-on-year GDP growth rates and GDP per capita values, which provide additional analytical dimensions beyond the raw aggregate GDP figures. Growth rates allow for the identification of periods of economic acceleration and deceleration, while per capita GDP enables comparisons of living standards and economic productivity that are not distorted by differences in national population sizes.</w:t>
      </w:r>
    </w:p>
    <w:p w14:paraId="6B2C4F51">
      <w:pPr>
        <w:pStyle w:val="4"/>
        <w:spacing w:before="240" w:after="120"/>
      </w:pPr>
      <w:r>
        <w:rPr>
          <w:rFonts w:ascii="Times New Roman" w:hAnsi="Times New Roman" w:eastAsia="Times New Roman" w:cs="Times New Roman"/>
          <w:b/>
          <w:bCs/>
          <w:sz w:val="26"/>
          <w:szCs w:val="26"/>
        </w:rPr>
        <w:t>4.1.2 Specific Requirements</w:t>
      </w:r>
    </w:p>
    <w:p w14:paraId="7DA79D9F">
      <w:pPr>
        <w:spacing w:before="0" w:after="160" w:line="360" w:lineRule="auto"/>
        <w:jc w:val="both"/>
      </w:pPr>
      <w:r>
        <w:rPr>
          <w:rFonts w:ascii="Times New Roman" w:hAnsi="Times New Roman" w:eastAsia="Times New Roman" w:cs="Times New Roman"/>
          <w:b w:val="0"/>
          <w:bCs w:val="0"/>
          <w:i w:val="0"/>
          <w:iCs w:val="0"/>
          <w:sz w:val="24"/>
          <w:szCs w:val="24"/>
        </w:rPr>
        <w:t>The specific analytical requirements for this objective are as follows:</w:t>
      </w:r>
    </w:p>
    <w:p w14:paraId="0F8048FE">
      <w:pPr>
        <w:pStyle w:val="16"/>
        <w:numPr>
          <w:ilvl w:val="0"/>
          <w:numId w:val="1"/>
        </w:numPr>
        <w:spacing w:after="120" w:line="360" w:lineRule="auto"/>
      </w:pPr>
      <w:r>
        <w:rPr>
          <w:rFonts w:ascii="Times New Roman" w:hAnsi="Times New Roman" w:eastAsia="Times New Roman" w:cs="Times New Roman"/>
          <w:sz w:val="24"/>
          <w:szCs w:val="24"/>
        </w:rPr>
        <w:t>Visualization of GDP trends over time for multiple countries simultaneously using a multi-series line chart, with Year on the horizontal axis, GDP value on the vertical axis, and Country as the series dimension.</w:t>
      </w:r>
    </w:p>
    <w:p w14:paraId="05FE2A18">
      <w:pPr>
        <w:pStyle w:val="16"/>
        <w:numPr>
          <w:ilvl w:val="0"/>
          <w:numId w:val="1"/>
        </w:numPr>
        <w:spacing w:after="120" w:line="360" w:lineRule="auto"/>
      </w:pPr>
      <w:r>
        <w:rPr>
          <w:rFonts w:ascii="Times New Roman" w:hAnsi="Times New Roman" w:eastAsia="Times New Roman" w:cs="Times New Roman"/>
          <w:sz w:val="24"/>
          <w:szCs w:val="24"/>
        </w:rPr>
        <w:t>Identification of the top ten countries by average GDP over the full study period using a ranked summary table.</w:t>
      </w:r>
    </w:p>
    <w:p w14:paraId="6A3C3EE4">
      <w:pPr>
        <w:pStyle w:val="16"/>
        <w:numPr>
          <w:ilvl w:val="0"/>
          <w:numId w:val="1"/>
        </w:numPr>
        <w:spacing w:after="120" w:line="360" w:lineRule="auto"/>
      </w:pPr>
      <w:r>
        <w:rPr>
          <w:rFonts w:ascii="Times New Roman" w:hAnsi="Times New Roman" w:eastAsia="Times New Roman" w:cs="Times New Roman"/>
          <w:sz w:val="24"/>
          <w:szCs w:val="24"/>
        </w:rPr>
        <w:t>Calculation and visualization of year-on-year GDP growth rates for selected major economies.</w:t>
      </w:r>
    </w:p>
    <w:p w14:paraId="6691166E">
      <w:pPr>
        <w:pStyle w:val="16"/>
        <w:numPr>
          <w:ilvl w:val="0"/>
          <w:numId w:val="1"/>
        </w:numPr>
        <w:spacing w:after="120" w:line="360" w:lineRule="auto"/>
      </w:pPr>
      <w:r>
        <w:rPr>
          <w:rFonts w:ascii="Times New Roman" w:hAnsi="Times New Roman" w:eastAsia="Times New Roman" w:cs="Times New Roman"/>
          <w:sz w:val="24"/>
          <w:szCs w:val="24"/>
        </w:rPr>
        <w:t>Display of the current (most recent year) GDP value for each country as a KPI card metric, filterable by the Country slicer.</w:t>
      </w:r>
    </w:p>
    <w:p w14:paraId="3791D1EB">
      <w:pPr>
        <w:pStyle w:val="16"/>
        <w:numPr>
          <w:ilvl w:val="0"/>
          <w:numId w:val="1"/>
        </w:numPr>
        <w:spacing w:after="120" w:line="360" w:lineRule="auto"/>
      </w:pPr>
      <w:r>
        <w:rPr>
          <w:rFonts w:ascii="Times New Roman" w:hAnsi="Times New Roman" w:eastAsia="Times New Roman" w:cs="Times New Roman"/>
          <w:sz w:val="24"/>
          <w:szCs w:val="24"/>
        </w:rPr>
        <w:t>Assessment of the degree to which the 2008–2009 Global Financial Crisis is discernible as a structural break in the GDP time series data.</w:t>
      </w:r>
    </w:p>
    <w:p w14:paraId="3AA19B15">
      <w:pPr>
        <w:pStyle w:val="4"/>
        <w:spacing w:before="240" w:after="120"/>
      </w:pPr>
      <w:r>
        <w:rPr>
          <w:rFonts w:ascii="Times New Roman" w:hAnsi="Times New Roman" w:eastAsia="Times New Roman" w:cs="Times New Roman"/>
          <w:b/>
          <w:bCs/>
          <w:sz w:val="26"/>
          <w:szCs w:val="26"/>
        </w:rPr>
        <w:t>4.1.3 Step-by-Step Analysis</w:t>
      </w:r>
    </w:p>
    <w:p w14:paraId="03817598">
      <w:pPr>
        <w:spacing w:before="0" w:after="160" w:line="360" w:lineRule="auto"/>
        <w:jc w:val="both"/>
      </w:pPr>
      <w:r>
        <w:rPr>
          <w:rFonts w:ascii="Times New Roman" w:hAnsi="Times New Roman" w:eastAsia="Times New Roman" w:cs="Times New Roman"/>
          <w:b w:val="0"/>
          <w:bCs w:val="0"/>
          <w:i w:val="0"/>
          <w:iCs w:val="0"/>
          <w:sz w:val="24"/>
          <w:szCs w:val="24"/>
        </w:rPr>
        <w:t>The GDP analysis was conducted according to the following procedural steps within the Power BI report environment:</w:t>
      </w:r>
    </w:p>
    <w:p w14:paraId="36035C9B">
      <w:pPr>
        <w:pStyle w:val="16"/>
        <w:numPr>
          <w:ilvl w:val="0"/>
          <w:numId w:val="2"/>
        </w:numPr>
        <w:spacing w:after="120" w:line="360" w:lineRule="auto"/>
      </w:pPr>
      <w:r>
        <w:rPr>
          <w:rFonts w:ascii="Times New Roman" w:hAnsi="Times New Roman" w:eastAsia="Times New Roman" w:cs="Times New Roman"/>
          <w:sz w:val="24"/>
          <w:szCs w:val="24"/>
        </w:rPr>
        <w:t>Step 1 – Data Filtering: The Indicator slicer was set to "GDP" to filter the dataset to GDP-specific records. The Year slicer was configured to display data from 1990 to 2020. The Country slicer was used to select a representative set of twelve countries for the primary trend analysis: United States, China, Germany, Japan, United Kingdom, France, India, Brazil, Canada, South Korea, Australia, and Nigeria.</w:t>
      </w:r>
    </w:p>
    <w:p w14:paraId="62E9A307">
      <w:pPr>
        <w:pStyle w:val="16"/>
        <w:numPr>
          <w:ilvl w:val="0"/>
          <w:numId w:val="2"/>
        </w:numPr>
        <w:spacing w:after="120" w:line="360" w:lineRule="auto"/>
      </w:pPr>
      <w:r>
        <w:rPr>
          <w:rFonts w:ascii="Times New Roman" w:hAnsi="Times New Roman" w:eastAsia="Times New Roman" w:cs="Times New Roman"/>
          <w:sz w:val="24"/>
          <w:szCs w:val="24"/>
        </w:rPr>
        <w:t>Step 2 – Line Chart Construction: A line chart visual was configured with Year on the Category (X) axis, Sum(Value) on the Y axis, and Country as the Series field. The chart was formatted with distinct colour-coded lines for each country, gridlines to facilitate value estimation, and data labels on selected milestone years (2000, 2005, 2010, 2015, 2020). The chart title was set to "Gross Domestic Product (in USD)" as reflected in the dashboard.</w:t>
      </w:r>
    </w:p>
    <w:p w14:paraId="772230A9">
      <w:pPr>
        <w:pStyle w:val="16"/>
        <w:numPr>
          <w:ilvl w:val="0"/>
          <w:numId w:val="2"/>
        </w:numPr>
        <w:spacing w:after="120" w:line="360" w:lineRule="auto"/>
      </w:pPr>
      <w:r>
        <w:rPr>
          <w:rFonts w:ascii="Times New Roman" w:hAnsi="Times New Roman" w:eastAsia="Times New Roman" w:cs="Times New Roman"/>
          <w:sz w:val="24"/>
          <w:szCs w:val="24"/>
        </w:rPr>
        <w:t>Step 3 – KPI Card Configuration: The GDP card visual was configured to display the most recently available GDP figure for the currently selected country/countries, updating dynamically in response to slicer selections. This card provides an at-a-glance summary of economic scale.</w:t>
      </w:r>
    </w:p>
    <w:p w14:paraId="48256109">
      <w:pPr>
        <w:pStyle w:val="16"/>
        <w:numPr>
          <w:ilvl w:val="0"/>
          <w:numId w:val="2"/>
        </w:numPr>
        <w:spacing w:after="120" w:line="360" w:lineRule="auto"/>
      </w:pPr>
      <w:r>
        <w:rPr>
          <w:rFonts w:ascii="Times New Roman" w:hAnsi="Times New Roman" w:eastAsia="Times New Roman" w:cs="Times New Roman"/>
          <w:sz w:val="24"/>
          <w:szCs w:val="24"/>
        </w:rPr>
        <w:t>Step 4 – Year-on-Year Growth Measure: A DAX measure was created to compute the percentage change in GDP relative to the prior year: GDP_Growth_YoY = DIVIDE([Current Year GDP] - [Prior Year GDP], [Prior Year GDP]) * 100. This measure was used in a secondary chart to display growth rate trajectories.</w:t>
      </w:r>
    </w:p>
    <w:p w14:paraId="0D3AA67E">
      <w:pPr>
        <w:pStyle w:val="16"/>
        <w:numPr>
          <w:ilvl w:val="0"/>
          <w:numId w:val="2"/>
        </w:numPr>
        <w:spacing w:after="120" w:line="360" w:lineRule="auto"/>
      </w:pPr>
      <w:r>
        <w:rPr>
          <w:rFonts w:ascii="Times New Roman" w:hAnsi="Times New Roman" w:eastAsia="Times New Roman" w:cs="Times New Roman"/>
          <w:sz w:val="24"/>
          <w:szCs w:val="24"/>
        </w:rPr>
        <w:t>Step 5 – Ranking Table: A summary table was generated listing the top 10 countries by average GDP across the 1990–2020 period, enabling a quick comparative ranking that contextualizes the trend line chart.</w:t>
      </w:r>
    </w:p>
    <w:p w14:paraId="10E5A070">
      <w:pPr>
        <w:pStyle w:val="4"/>
        <w:spacing w:before="240" w:after="120"/>
      </w:pPr>
      <w:r>
        <w:rPr>
          <w:rFonts w:ascii="Times New Roman" w:hAnsi="Times New Roman" w:eastAsia="Times New Roman" w:cs="Times New Roman"/>
          <w:b/>
          <w:bCs/>
          <w:sz w:val="26"/>
          <w:szCs w:val="26"/>
        </w:rPr>
        <w:t>4.1.4 Interpretation of Results</w:t>
      </w:r>
    </w:p>
    <w:p w14:paraId="65C9F8F8">
      <w:pPr>
        <w:spacing w:before="0" w:after="160" w:line="360" w:lineRule="auto"/>
        <w:jc w:val="both"/>
      </w:pPr>
      <w:r>
        <w:rPr>
          <w:rFonts w:ascii="Times New Roman" w:hAnsi="Times New Roman" w:eastAsia="Times New Roman" w:cs="Times New Roman"/>
          <w:b w:val="0"/>
          <w:bCs w:val="0"/>
          <w:i w:val="0"/>
          <w:iCs w:val="0"/>
          <w:sz w:val="24"/>
          <w:szCs w:val="24"/>
        </w:rPr>
        <w:t>The GDP trend analysis reveals a number of striking and consequential patterns in the global economic landscape over the study period. Perhaps the most visually dramatic feature of the GDP line chart is the extraordinary trajectory of China's economic expansion. In 1990, China's GDP was approximately $360 billion USD, placing it well below Germany, France, the United Kingdom, and comparable to Brazil. By 2020, China's GDP had reached approximately $14.7 trillion USD – an increase of over 4,000% in nominal terms – making China the world's second-largest economy. This extraordinary growth represents one of the most rapid and sustained economic expansions in recorded human history, driven by a combination of export-led industrialization, massive domestic infrastructure investment, urbanization, and productivity gains associated with technology transfer and institutional reform.</w:t>
      </w:r>
    </w:p>
    <w:p w14:paraId="7AA1A07A">
      <w:pPr>
        <w:spacing w:before="0" w:after="160" w:line="360" w:lineRule="auto"/>
        <w:jc w:val="both"/>
      </w:pPr>
      <w:r>
        <w:rPr>
          <w:rFonts w:ascii="Times New Roman" w:hAnsi="Times New Roman" w:eastAsia="Times New Roman" w:cs="Times New Roman"/>
          <w:b w:val="0"/>
          <w:bCs w:val="0"/>
          <w:i w:val="0"/>
          <w:iCs w:val="0"/>
          <w:sz w:val="24"/>
          <w:szCs w:val="24"/>
        </w:rPr>
        <w:t>The United States, while maintaining its position as the world's largest economy throughout the entire study period, exhibited a more gradual growth trajectory, with GDP expanding from approximately $5.9 trillion in 1990 to approximately $20.9 trillion in 2020. The 2008–2009 Global Financial Crisis is clearly visible as a notable dip in the US GDP series, with the economy contracting by approximately 2.5% in real terms in 2009 before recovering to pre-crisis levels by 2011. A similar, though somewhat smaller, dip is observable across most other developed economy series during this period.</w:t>
      </w:r>
    </w:p>
    <w:p w14:paraId="41874898">
      <w:pPr>
        <w:spacing w:before="0" w:after="160" w:line="360" w:lineRule="auto"/>
        <w:jc w:val="both"/>
      </w:pPr>
      <w:r>
        <w:rPr>
          <w:rFonts w:ascii="Times New Roman" w:hAnsi="Times New Roman" w:eastAsia="Times New Roman" w:cs="Times New Roman"/>
          <w:b w:val="0"/>
          <w:bCs w:val="0"/>
          <w:i w:val="0"/>
          <w:iCs w:val="0"/>
          <w:sz w:val="24"/>
          <w:szCs w:val="24"/>
        </w:rPr>
        <w:t>India presents another compelling growth story, particularly from the mid-2000s onward. India's GDP accelerated sharply following the implementation of structural economic reforms in the early 1990s and the subsequent liberalization of its economy. By the end of the study period, India had become the world's fifth-largest economy by nominal GDP, surpassing the United Kingdom and France. India's GDP per capita, however, remains substantially lower than that of its BRICS counterparts due to its very large population.</w:t>
      </w:r>
    </w:p>
    <w:p w14:paraId="3A45E87F">
      <w:pPr>
        <w:spacing w:before="0" w:after="160" w:line="360" w:lineRule="auto"/>
        <w:jc w:val="both"/>
      </w:pPr>
      <w:r>
        <w:rPr>
          <w:rFonts w:ascii="Times New Roman" w:hAnsi="Times New Roman" w:eastAsia="Times New Roman" w:cs="Times New Roman"/>
          <w:b w:val="0"/>
          <w:bCs w:val="0"/>
          <w:i w:val="0"/>
          <w:iCs w:val="0"/>
          <w:sz w:val="24"/>
          <w:szCs w:val="24"/>
        </w:rPr>
        <w:t>The European economies – Germany, France, and the United Kingdom – show broadly similar trajectories of moderate growth punctuated by the significant contraction associated with the 2008–2009 financial crisis and the subsequent slow recovery during the eurozone debt crisis (2010–2012). Germany's economy demonstrates the most resilience among the three, attributed to its strong export sector and manufacturing base. Japan, once the world's second-largest economy, was overtaken by China in 2010 and has experienced protracted economic stagnation, exacerbated by demographic challenges including an aging population and low birth rates.</w:t>
      </w:r>
    </w:p>
    <w:p w14:paraId="749B9388">
      <w:pPr>
        <w:spacing w:before="0" w:after="160" w:line="360" w:lineRule="auto"/>
        <w:jc w:val="both"/>
      </w:pPr>
      <w:r>
        <w:rPr>
          <w:rFonts w:ascii="Times New Roman" w:hAnsi="Times New Roman" w:eastAsia="Times New Roman" w:cs="Times New Roman"/>
          <w:b w:val="0"/>
          <w:bCs w:val="0"/>
          <w:i w:val="0"/>
          <w:iCs w:val="0"/>
          <w:sz w:val="24"/>
          <w:szCs w:val="24"/>
        </w:rPr>
        <w:t>Sub-Saharan African economies, represented in this analysis by Nigeria (the continent's largest economy), show a more volatile GDP trajectory, reflecting the dual impact of commodity price cycles (particularly oil price fluctuations, given Nigeria's oil-dependent economy) and structural development challenges including infrastructure deficits, governance issues, and limited diversification.</w:t>
      </w:r>
    </w:p>
    <w:p w14:paraId="2E926D4C"/>
    <w:p w14:paraId="630D0C3E">
      <w:pPr>
        <w:spacing w:before="80" w:after="80"/>
        <w:jc w:val="center"/>
      </w:pPr>
      <w:r>
        <w:rPr>
          <w:rFonts w:ascii="Times New Roman" w:hAnsi="Times New Roman" w:eastAsia="Times New Roman" w:cs="Times New Roman"/>
          <w:b/>
          <w:bCs/>
          <w:sz w:val="22"/>
          <w:szCs w:val="22"/>
        </w:rPr>
        <w:t>Table 5: Top 10 Countries by Average GDP (2000–2020, USD Billions)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0CF72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06A220B4">
            <w:pPr>
              <w:jc w:val="center"/>
            </w:pPr>
            <w:r>
              <w:rPr>
                <w:rFonts w:ascii="Times New Roman" w:hAnsi="Times New Roman" w:eastAsia="Times New Roman" w:cs="Times New Roman"/>
                <w:b/>
                <w:bCs/>
                <w:color w:val="FFFFFF"/>
                <w:sz w:val="22"/>
                <w:szCs w:val="22"/>
              </w:rPr>
              <w:t>Rank</w:t>
            </w:r>
          </w:p>
        </w:tc>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1ABF5785">
            <w:pPr>
              <w:jc w:val="center"/>
            </w:pPr>
            <w:r>
              <w:rPr>
                <w:rFonts w:ascii="Times New Roman" w:hAnsi="Times New Roman" w:eastAsia="Times New Roman" w:cs="Times New Roman"/>
                <w:b/>
                <w:bCs/>
                <w:color w:val="FFFFFF"/>
                <w:sz w:val="22"/>
                <w:szCs w:val="22"/>
              </w:rPr>
              <w:t>Country</w:t>
            </w:r>
          </w:p>
        </w:tc>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51AF7EE6">
            <w:pPr>
              <w:jc w:val="center"/>
            </w:pPr>
            <w:r>
              <w:rPr>
                <w:rFonts w:ascii="Times New Roman" w:hAnsi="Times New Roman" w:eastAsia="Times New Roman" w:cs="Times New Roman"/>
                <w:b/>
                <w:bCs/>
                <w:color w:val="FFFFFF"/>
                <w:sz w:val="22"/>
                <w:szCs w:val="22"/>
              </w:rPr>
              <w:t>Avg. GDP (USD Billion)</w:t>
            </w:r>
          </w:p>
        </w:tc>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0A4CA7A9">
            <w:pPr>
              <w:jc w:val="center"/>
            </w:pPr>
            <w:r>
              <w:rPr>
                <w:rFonts w:ascii="Times New Roman" w:hAnsi="Times New Roman" w:eastAsia="Times New Roman" w:cs="Times New Roman"/>
                <w:b/>
                <w:bCs/>
                <w:color w:val="FFFFFF"/>
                <w:sz w:val="22"/>
                <w:szCs w:val="22"/>
              </w:rPr>
              <w:t>Peak Year</w:t>
            </w:r>
          </w:p>
        </w:tc>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56A8E412">
            <w:pPr>
              <w:jc w:val="center"/>
            </w:pPr>
            <w:r>
              <w:rPr>
                <w:rFonts w:ascii="Times New Roman" w:hAnsi="Times New Roman" w:eastAsia="Times New Roman" w:cs="Times New Roman"/>
                <w:b/>
                <w:bCs/>
                <w:color w:val="FFFFFF"/>
                <w:sz w:val="22"/>
                <w:szCs w:val="22"/>
              </w:rPr>
              <w:t>Peak GDP (USD Billion)</w:t>
            </w:r>
          </w:p>
        </w:tc>
      </w:tr>
      <w:tr w14:paraId="2DC6C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78C6A09E">
            <w:pPr>
              <w:jc w:val="center"/>
            </w:pPr>
            <w:r>
              <w:rPr>
                <w:rFonts w:ascii="Times New Roman" w:hAnsi="Times New Roman" w:eastAsia="Times New Roman" w:cs="Times New Roman"/>
                <w:sz w:val="22"/>
                <w:szCs w:val="22"/>
              </w:rPr>
              <w:t>1</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CE124DE">
            <w:pPr>
              <w:jc w:val="center"/>
            </w:pPr>
            <w:r>
              <w:rPr>
                <w:rFonts w:ascii="Times New Roman" w:hAnsi="Times New Roman" w:eastAsia="Times New Roman" w:cs="Times New Roman"/>
                <w:sz w:val="22"/>
                <w:szCs w:val="22"/>
              </w:rPr>
              <w:t>United States</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CBEC769">
            <w:pPr>
              <w:jc w:val="center"/>
            </w:pPr>
            <w:r>
              <w:rPr>
                <w:rFonts w:ascii="Times New Roman" w:hAnsi="Times New Roman" w:eastAsia="Times New Roman" w:cs="Times New Roman"/>
                <w:sz w:val="22"/>
                <w:szCs w:val="22"/>
              </w:rPr>
              <w:t>$15,247</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492818D">
            <w:pPr>
              <w:jc w:val="center"/>
            </w:pPr>
            <w:r>
              <w:rPr>
                <w:rFonts w:ascii="Times New Roman" w:hAnsi="Times New Roman" w:eastAsia="Times New Roman" w:cs="Times New Roman"/>
                <w:sz w:val="22"/>
                <w:szCs w:val="22"/>
              </w:rPr>
              <w:t>2020</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50CD330">
            <w:pPr>
              <w:jc w:val="center"/>
            </w:pPr>
            <w:r>
              <w:rPr>
                <w:rFonts w:ascii="Times New Roman" w:hAnsi="Times New Roman" w:eastAsia="Times New Roman" w:cs="Times New Roman"/>
                <w:sz w:val="22"/>
                <w:szCs w:val="22"/>
              </w:rPr>
              <w:t>$20,936</w:t>
            </w:r>
          </w:p>
        </w:tc>
      </w:tr>
      <w:tr w14:paraId="021A3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019551B">
            <w:pPr>
              <w:jc w:val="center"/>
            </w:pPr>
            <w:r>
              <w:rPr>
                <w:rFonts w:ascii="Times New Roman" w:hAnsi="Times New Roman" w:eastAsia="Times New Roman" w:cs="Times New Roman"/>
                <w:sz w:val="22"/>
                <w:szCs w:val="22"/>
              </w:rPr>
              <w:t>2</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0794935">
            <w:pPr>
              <w:jc w:val="center"/>
            </w:pPr>
            <w:r>
              <w:rPr>
                <w:rFonts w:ascii="Times New Roman" w:hAnsi="Times New Roman" w:eastAsia="Times New Roman" w:cs="Times New Roman"/>
                <w:sz w:val="22"/>
                <w:szCs w:val="22"/>
              </w:rPr>
              <w:t>China</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D7E78A6">
            <w:pPr>
              <w:jc w:val="center"/>
            </w:pPr>
            <w:r>
              <w:rPr>
                <w:rFonts w:ascii="Times New Roman" w:hAnsi="Times New Roman" w:eastAsia="Times New Roman" w:cs="Times New Roman"/>
                <w:sz w:val="22"/>
                <w:szCs w:val="22"/>
              </w:rPr>
              <w:t>$5,823</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69A20B7">
            <w:pPr>
              <w:jc w:val="center"/>
            </w:pPr>
            <w:r>
              <w:rPr>
                <w:rFonts w:ascii="Times New Roman" w:hAnsi="Times New Roman" w:eastAsia="Times New Roman" w:cs="Times New Roman"/>
                <w:sz w:val="22"/>
                <w:szCs w:val="22"/>
              </w:rPr>
              <w:t>2020</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07150B6">
            <w:pPr>
              <w:jc w:val="center"/>
            </w:pPr>
            <w:r>
              <w:rPr>
                <w:rFonts w:ascii="Times New Roman" w:hAnsi="Times New Roman" w:eastAsia="Times New Roman" w:cs="Times New Roman"/>
                <w:sz w:val="22"/>
                <w:szCs w:val="22"/>
              </w:rPr>
              <w:t>$14,723</w:t>
            </w:r>
          </w:p>
        </w:tc>
      </w:tr>
      <w:tr w14:paraId="0371B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F10AA1D">
            <w:pPr>
              <w:jc w:val="center"/>
            </w:pPr>
            <w:r>
              <w:rPr>
                <w:rFonts w:ascii="Times New Roman" w:hAnsi="Times New Roman" w:eastAsia="Times New Roman" w:cs="Times New Roman"/>
                <w:sz w:val="22"/>
                <w:szCs w:val="22"/>
              </w:rPr>
              <w:t>3</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B5CDBF0">
            <w:pPr>
              <w:jc w:val="center"/>
            </w:pPr>
            <w:r>
              <w:rPr>
                <w:rFonts w:ascii="Times New Roman" w:hAnsi="Times New Roman" w:eastAsia="Times New Roman" w:cs="Times New Roman"/>
                <w:sz w:val="22"/>
                <w:szCs w:val="22"/>
              </w:rPr>
              <w:t>Japan</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66C9B08">
            <w:pPr>
              <w:jc w:val="center"/>
            </w:pPr>
            <w:r>
              <w:rPr>
                <w:rFonts w:ascii="Times New Roman" w:hAnsi="Times New Roman" w:eastAsia="Times New Roman" w:cs="Times New Roman"/>
                <w:sz w:val="22"/>
                <w:szCs w:val="22"/>
              </w:rPr>
              <w:t>$5,021</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DC7188B">
            <w:pPr>
              <w:jc w:val="center"/>
            </w:pPr>
            <w:r>
              <w:rPr>
                <w:rFonts w:ascii="Times New Roman" w:hAnsi="Times New Roman" w:eastAsia="Times New Roman" w:cs="Times New Roman"/>
                <w:sz w:val="22"/>
                <w:szCs w:val="22"/>
              </w:rPr>
              <w:t>2012</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30F6627">
            <w:pPr>
              <w:jc w:val="center"/>
            </w:pPr>
            <w:r>
              <w:rPr>
                <w:rFonts w:ascii="Times New Roman" w:hAnsi="Times New Roman" w:eastAsia="Times New Roman" w:cs="Times New Roman"/>
                <w:sz w:val="22"/>
                <w:szCs w:val="22"/>
              </w:rPr>
              <w:t>$6,203</w:t>
            </w:r>
          </w:p>
        </w:tc>
      </w:tr>
      <w:tr w14:paraId="488D9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B1DAA32">
            <w:pPr>
              <w:jc w:val="center"/>
            </w:pPr>
            <w:r>
              <w:rPr>
                <w:rFonts w:ascii="Times New Roman" w:hAnsi="Times New Roman" w:eastAsia="Times New Roman" w:cs="Times New Roman"/>
                <w:sz w:val="22"/>
                <w:szCs w:val="22"/>
              </w:rPr>
              <w:t>4</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E5DA498">
            <w:pPr>
              <w:jc w:val="center"/>
            </w:pPr>
            <w:r>
              <w:rPr>
                <w:rFonts w:ascii="Times New Roman" w:hAnsi="Times New Roman" w:eastAsia="Times New Roman" w:cs="Times New Roman"/>
                <w:sz w:val="22"/>
                <w:szCs w:val="22"/>
              </w:rPr>
              <w:t>Germany</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61D5E0B">
            <w:pPr>
              <w:jc w:val="center"/>
            </w:pPr>
            <w:r>
              <w:rPr>
                <w:rFonts w:ascii="Times New Roman" w:hAnsi="Times New Roman" w:eastAsia="Times New Roman" w:cs="Times New Roman"/>
                <w:sz w:val="22"/>
                <w:szCs w:val="22"/>
              </w:rPr>
              <w:t>$3,198</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FE41A2A">
            <w:pPr>
              <w:jc w:val="center"/>
            </w:pPr>
            <w:r>
              <w:rPr>
                <w:rFonts w:ascii="Times New Roman" w:hAnsi="Times New Roman" w:eastAsia="Times New Roman" w:cs="Times New Roman"/>
                <w:sz w:val="22"/>
                <w:szCs w:val="22"/>
              </w:rPr>
              <w:t>2020</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2D733FA">
            <w:pPr>
              <w:jc w:val="center"/>
            </w:pPr>
            <w:r>
              <w:rPr>
                <w:rFonts w:ascii="Times New Roman" w:hAnsi="Times New Roman" w:eastAsia="Times New Roman" w:cs="Times New Roman"/>
                <w:sz w:val="22"/>
                <w:szCs w:val="22"/>
              </w:rPr>
              <w:t>$3,806</w:t>
            </w:r>
          </w:p>
        </w:tc>
      </w:tr>
      <w:tr w14:paraId="599BA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78829CB">
            <w:pPr>
              <w:jc w:val="center"/>
            </w:pPr>
            <w:r>
              <w:rPr>
                <w:rFonts w:ascii="Times New Roman" w:hAnsi="Times New Roman" w:eastAsia="Times New Roman" w:cs="Times New Roman"/>
                <w:sz w:val="22"/>
                <w:szCs w:val="22"/>
              </w:rPr>
              <w:t>5</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8DDF717">
            <w:pPr>
              <w:jc w:val="center"/>
            </w:pPr>
            <w:r>
              <w:rPr>
                <w:rFonts w:ascii="Times New Roman" w:hAnsi="Times New Roman" w:eastAsia="Times New Roman" w:cs="Times New Roman"/>
                <w:sz w:val="22"/>
                <w:szCs w:val="22"/>
              </w:rPr>
              <w:t>United Kingdom</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0AB7B69">
            <w:pPr>
              <w:jc w:val="center"/>
            </w:pPr>
            <w:r>
              <w:rPr>
                <w:rFonts w:ascii="Times New Roman" w:hAnsi="Times New Roman" w:eastAsia="Times New Roman" w:cs="Times New Roman"/>
                <w:sz w:val="22"/>
                <w:szCs w:val="22"/>
              </w:rPr>
              <w:t>$2,559</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0190D79">
            <w:pPr>
              <w:jc w:val="center"/>
            </w:pPr>
            <w:r>
              <w:rPr>
                <w:rFonts w:ascii="Times New Roman" w:hAnsi="Times New Roman" w:eastAsia="Times New Roman" w:cs="Times New Roman"/>
                <w:sz w:val="22"/>
                <w:szCs w:val="22"/>
              </w:rPr>
              <w:t>2020</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CF826DF">
            <w:pPr>
              <w:jc w:val="center"/>
            </w:pPr>
            <w:r>
              <w:rPr>
                <w:rFonts w:ascii="Times New Roman" w:hAnsi="Times New Roman" w:eastAsia="Times New Roman" w:cs="Times New Roman"/>
                <w:sz w:val="22"/>
                <w:szCs w:val="22"/>
              </w:rPr>
              <w:t>$2,709</w:t>
            </w:r>
          </w:p>
        </w:tc>
      </w:tr>
      <w:tr w14:paraId="525A7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2A65339">
            <w:pPr>
              <w:jc w:val="center"/>
            </w:pPr>
            <w:r>
              <w:rPr>
                <w:rFonts w:ascii="Times New Roman" w:hAnsi="Times New Roman" w:eastAsia="Times New Roman" w:cs="Times New Roman"/>
                <w:sz w:val="22"/>
                <w:szCs w:val="22"/>
              </w:rPr>
              <w:t>6</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54C8369">
            <w:pPr>
              <w:jc w:val="center"/>
            </w:pPr>
            <w:r>
              <w:rPr>
                <w:rFonts w:ascii="Times New Roman" w:hAnsi="Times New Roman" w:eastAsia="Times New Roman" w:cs="Times New Roman"/>
                <w:sz w:val="22"/>
                <w:szCs w:val="22"/>
              </w:rPr>
              <w:t>France</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E167AAE">
            <w:pPr>
              <w:jc w:val="center"/>
            </w:pPr>
            <w:r>
              <w:rPr>
                <w:rFonts w:ascii="Times New Roman" w:hAnsi="Times New Roman" w:eastAsia="Times New Roman" w:cs="Times New Roman"/>
                <w:sz w:val="22"/>
                <w:szCs w:val="22"/>
              </w:rPr>
              <w:t>$2,414</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628C7CF5">
            <w:pPr>
              <w:jc w:val="center"/>
            </w:pPr>
            <w:r>
              <w:rPr>
                <w:rFonts w:ascii="Times New Roman" w:hAnsi="Times New Roman" w:eastAsia="Times New Roman" w:cs="Times New Roman"/>
                <w:sz w:val="22"/>
                <w:szCs w:val="22"/>
              </w:rPr>
              <w:t>2020</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1A2BED9">
            <w:pPr>
              <w:jc w:val="center"/>
            </w:pPr>
            <w:r>
              <w:rPr>
                <w:rFonts w:ascii="Times New Roman" w:hAnsi="Times New Roman" w:eastAsia="Times New Roman" w:cs="Times New Roman"/>
                <w:sz w:val="22"/>
                <w:szCs w:val="22"/>
              </w:rPr>
              <w:t>$2,630</w:t>
            </w:r>
          </w:p>
        </w:tc>
      </w:tr>
      <w:tr w14:paraId="60C76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1B3A91A">
            <w:pPr>
              <w:jc w:val="center"/>
            </w:pPr>
            <w:r>
              <w:rPr>
                <w:rFonts w:ascii="Times New Roman" w:hAnsi="Times New Roman" w:eastAsia="Times New Roman" w:cs="Times New Roman"/>
                <w:sz w:val="22"/>
                <w:szCs w:val="22"/>
              </w:rPr>
              <w:t>7</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267B40F">
            <w:pPr>
              <w:jc w:val="center"/>
            </w:pPr>
            <w:r>
              <w:rPr>
                <w:rFonts w:ascii="Times New Roman" w:hAnsi="Times New Roman" w:eastAsia="Times New Roman" w:cs="Times New Roman"/>
                <w:sz w:val="22"/>
                <w:szCs w:val="22"/>
              </w:rPr>
              <w:t>India</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195F145">
            <w:pPr>
              <w:jc w:val="center"/>
            </w:pPr>
            <w:r>
              <w:rPr>
                <w:rFonts w:ascii="Times New Roman" w:hAnsi="Times New Roman" w:eastAsia="Times New Roman" w:cs="Times New Roman"/>
                <w:sz w:val="22"/>
                <w:szCs w:val="22"/>
              </w:rPr>
              <w:t>$1,623</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C8D4119">
            <w:pPr>
              <w:jc w:val="center"/>
            </w:pPr>
            <w:r>
              <w:rPr>
                <w:rFonts w:ascii="Times New Roman" w:hAnsi="Times New Roman" w:eastAsia="Times New Roman" w:cs="Times New Roman"/>
                <w:sz w:val="22"/>
                <w:szCs w:val="22"/>
              </w:rPr>
              <w:t>2020</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DB444EA">
            <w:pPr>
              <w:jc w:val="center"/>
            </w:pPr>
            <w:r>
              <w:rPr>
                <w:rFonts w:ascii="Times New Roman" w:hAnsi="Times New Roman" w:eastAsia="Times New Roman" w:cs="Times New Roman"/>
                <w:sz w:val="22"/>
                <w:szCs w:val="22"/>
              </w:rPr>
              <w:t>$2,623</w:t>
            </w:r>
          </w:p>
        </w:tc>
      </w:tr>
      <w:tr w14:paraId="06F90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D9EDB85">
            <w:pPr>
              <w:jc w:val="center"/>
            </w:pPr>
            <w:r>
              <w:rPr>
                <w:rFonts w:ascii="Times New Roman" w:hAnsi="Times New Roman" w:eastAsia="Times New Roman" w:cs="Times New Roman"/>
                <w:sz w:val="22"/>
                <w:szCs w:val="22"/>
              </w:rPr>
              <w:t>8</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CE4E8EA">
            <w:pPr>
              <w:jc w:val="center"/>
            </w:pPr>
            <w:r>
              <w:rPr>
                <w:rFonts w:ascii="Times New Roman" w:hAnsi="Times New Roman" w:eastAsia="Times New Roman" w:cs="Times New Roman"/>
                <w:sz w:val="22"/>
                <w:szCs w:val="22"/>
              </w:rPr>
              <w:t>Brazil</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35C238B">
            <w:pPr>
              <w:jc w:val="center"/>
            </w:pPr>
            <w:r>
              <w:rPr>
                <w:rFonts w:ascii="Times New Roman" w:hAnsi="Times New Roman" w:eastAsia="Times New Roman" w:cs="Times New Roman"/>
                <w:sz w:val="22"/>
                <w:szCs w:val="22"/>
              </w:rPr>
              <w:t>$1,534</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75A778F">
            <w:pPr>
              <w:jc w:val="center"/>
            </w:pPr>
            <w:r>
              <w:rPr>
                <w:rFonts w:ascii="Times New Roman" w:hAnsi="Times New Roman" w:eastAsia="Times New Roman" w:cs="Times New Roman"/>
                <w:sz w:val="22"/>
                <w:szCs w:val="22"/>
              </w:rPr>
              <w:t>2011</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6DA12D87">
            <w:pPr>
              <w:jc w:val="center"/>
            </w:pPr>
            <w:r>
              <w:rPr>
                <w:rFonts w:ascii="Times New Roman" w:hAnsi="Times New Roman" w:eastAsia="Times New Roman" w:cs="Times New Roman"/>
                <w:sz w:val="22"/>
                <w:szCs w:val="22"/>
              </w:rPr>
              <w:t>$2,616</w:t>
            </w:r>
          </w:p>
        </w:tc>
      </w:tr>
      <w:tr w14:paraId="348B7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FC828D1">
            <w:pPr>
              <w:jc w:val="center"/>
            </w:pPr>
            <w:r>
              <w:rPr>
                <w:rFonts w:ascii="Times New Roman" w:hAnsi="Times New Roman" w:eastAsia="Times New Roman" w:cs="Times New Roman"/>
                <w:sz w:val="22"/>
                <w:szCs w:val="22"/>
              </w:rPr>
              <w:t>9</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B558B19">
            <w:pPr>
              <w:jc w:val="center"/>
            </w:pPr>
            <w:r>
              <w:rPr>
                <w:rFonts w:ascii="Times New Roman" w:hAnsi="Times New Roman" w:eastAsia="Times New Roman" w:cs="Times New Roman"/>
                <w:sz w:val="22"/>
                <w:szCs w:val="22"/>
              </w:rPr>
              <w:t>Canada</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59DBB49">
            <w:pPr>
              <w:jc w:val="center"/>
            </w:pPr>
            <w:r>
              <w:rPr>
                <w:rFonts w:ascii="Times New Roman" w:hAnsi="Times New Roman" w:eastAsia="Times New Roman" w:cs="Times New Roman"/>
                <w:sz w:val="22"/>
                <w:szCs w:val="22"/>
              </w:rPr>
              <w:t>$1,502</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4AFCDAA">
            <w:pPr>
              <w:jc w:val="center"/>
            </w:pPr>
            <w:r>
              <w:rPr>
                <w:rFonts w:ascii="Times New Roman" w:hAnsi="Times New Roman" w:eastAsia="Times New Roman" w:cs="Times New Roman"/>
                <w:sz w:val="22"/>
                <w:szCs w:val="22"/>
              </w:rPr>
              <w:t>2020</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7EF6E7B">
            <w:pPr>
              <w:jc w:val="center"/>
            </w:pPr>
            <w:r>
              <w:rPr>
                <w:rFonts w:ascii="Times New Roman" w:hAnsi="Times New Roman" w:eastAsia="Times New Roman" w:cs="Times New Roman"/>
                <w:sz w:val="22"/>
                <w:szCs w:val="22"/>
              </w:rPr>
              <w:t>$1,643</w:t>
            </w:r>
          </w:p>
        </w:tc>
      </w:tr>
      <w:tr w14:paraId="24E84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0D52D214">
            <w:pPr>
              <w:jc w:val="center"/>
            </w:pPr>
            <w:r>
              <w:rPr>
                <w:rFonts w:ascii="Times New Roman" w:hAnsi="Times New Roman" w:eastAsia="Times New Roman" w:cs="Times New Roman"/>
                <w:sz w:val="22"/>
                <w:szCs w:val="22"/>
              </w:rPr>
              <w:t>10</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5777651">
            <w:pPr>
              <w:jc w:val="center"/>
            </w:pPr>
            <w:r>
              <w:rPr>
                <w:rFonts w:ascii="Times New Roman" w:hAnsi="Times New Roman" w:eastAsia="Times New Roman" w:cs="Times New Roman"/>
                <w:sz w:val="22"/>
                <w:szCs w:val="22"/>
              </w:rPr>
              <w:t>South Korea</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6F09708">
            <w:pPr>
              <w:jc w:val="center"/>
            </w:pPr>
            <w:r>
              <w:rPr>
                <w:rFonts w:ascii="Times New Roman" w:hAnsi="Times New Roman" w:eastAsia="Times New Roman" w:cs="Times New Roman"/>
                <w:sz w:val="22"/>
                <w:szCs w:val="22"/>
              </w:rPr>
              <w:t>$1,087</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C53A67A">
            <w:pPr>
              <w:jc w:val="center"/>
            </w:pPr>
            <w:r>
              <w:rPr>
                <w:rFonts w:ascii="Times New Roman" w:hAnsi="Times New Roman" w:eastAsia="Times New Roman" w:cs="Times New Roman"/>
                <w:sz w:val="22"/>
                <w:szCs w:val="22"/>
              </w:rPr>
              <w:t>2020</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6B2AA8CA">
            <w:pPr>
              <w:jc w:val="center"/>
            </w:pPr>
            <w:r>
              <w:rPr>
                <w:rFonts w:ascii="Times New Roman" w:hAnsi="Times New Roman" w:eastAsia="Times New Roman" w:cs="Times New Roman"/>
                <w:sz w:val="22"/>
                <w:szCs w:val="22"/>
              </w:rPr>
              <w:t>$1,631</w:t>
            </w:r>
          </w:p>
        </w:tc>
      </w:tr>
    </w:tbl>
    <w:p w14:paraId="5D217788">
      <w:pPr>
        <w:pStyle w:val="4"/>
        <w:spacing w:before="240" w:after="120"/>
      </w:pPr>
      <w:r>
        <w:rPr>
          <w:rFonts w:ascii="Times New Roman" w:hAnsi="Times New Roman" w:eastAsia="Times New Roman" w:cs="Times New Roman"/>
          <w:b/>
          <w:bCs/>
          <w:sz w:val="26"/>
          <w:szCs w:val="26"/>
        </w:rPr>
        <w:t>4.1.5 Visualization Explanation</w:t>
      </w:r>
    </w:p>
    <w:p w14:paraId="116DEA2B">
      <w:pPr>
        <w:spacing w:before="0" w:after="160" w:line="360" w:lineRule="auto"/>
        <w:jc w:val="both"/>
      </w:pPr>
      <w:r>
        <w:rPr>
          <w:rFonts w:ascii="Times New Roman" w:hAnsi="Times New Roman" w:eastAsia="Times New Roman" w:cs="Times New Roman"/>
          <w:b w:val="0"/>
          <w:bCs w:val="0"/>
          <w:i w:val="0"/>
          <w:iCs w:val="0"/>
          <w:sz w:val="24"/>
          <w:szCs w:val="24"/>
        </w:rPr>
        <w:t>The primary visualization for this objective is a multi-series line chart titled "Gross Domestic Product (in USD)" displayed prominently on the Power BI dashboard. The chart uses Year as the categorical X-axis dimension (running from 1990 to 2020), while the Y-axis represents the aggregated GDP value in US dollars. Each country included in the analysis is represented by a distinct coloured line series, enabling simultaneous visual comparison of up to twelve national trajectories within a single chart canvas.</w:t>
      </w:r>
    </w:p>
    <w:p w14:paraId="5D476282">
      <w:pPr>
        <w:spacing w:before="0" w:after="160" w:line="360" w:lineRule="auto"/>
        <w:jc w:val="both"/>
      </w:pPr>
      <w:r>
        <w:rPr>
          <w:rFonts w:ascii="Times New Roman" w:hAnsi="Times New Roman" w:eastAsia="Times New Roman" w:cs="Times New Roman"/>
          <w:b w:val="0"/>
          <w:bCs w:val="0"/>
          <w:i w:val="0"/>
          <w:iCs w:val="0"/>
          <w:sz w:val="24"/>
          <w:szCs w:val="24"/>
        </w:rPr>
        <w:t>The steep upward gradient of China's line, particularly visible from approximately 2003 onwards, is immediately striking and dominates the lower portion of the chart's value range for earlier years before converging toward the US line in the later years. The relatively flat trajectories of European economies by comparison underscore the contrast between the rapid growth of emerging economies and the more mature, slower-growing patterns of advanced industrialized nations. The small but visible dip in most country series around 2009 marks the impact of the Global Financial Crisis.</w:t>
      </w:r>
    </w:p>
    <w:tbl>
      <w:tblPr>
        <w:tblStyle w:val="9"/>
        <w:tblW w:w="9026" w:type="dxa"/>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9026"/>
      </w:tblGrid>
      <w:tr w14:paraId="51F4204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108" w:type="dxa"/>
            <w:bottom w:w="0" w:type="dxa"/>
            <w:right w:w="108" w:type="dxa"/>
          </w:tblCellMar>
        </w:tblPrEx>
        <w:trPr>
          <w:jc w:val="center"/>
        </w:trPr>
        <w:tc>
          <w:tcPr>
            <w:tcW w:w="0" w:type="auto"/>
            <w:tcBorders>
              <w:top w:val="single" w:color="2E75B6" w:sz="8" w:space="0"/>
              <w:left w:val="single" w:color="2E75B6" w:sz="8" w:space="0"/>
              <w:bottom w:val="single" w:color="2E75B6" w:sz="8" w:space="0"/>
              <w:right w:val="single" w:color="2E75B6" w:sz="8" w:space="0"/>
            </w:tcBorders>
            <w:shd w:val="clear" w:color="auto" w:fill="EBF3FB"/>
            <w:tcMar>
              <w:top w:w="400" w:type="dxa"/>
              <w:left w:w="400" w:type="dxa"/>
              <w:bottom w:w="400" w:type="dxa"/>
              <w:right w:w="400" w:type="dxa"/>
            </w:tcMar>
            <w:vAlign w:val="center"/>
          </w:tcPr>
          <w:p w14:paraId="728D7EE8">
            <w:pPr>
              <w:keepNext w:val="0"/>
              <w:keepLines w:val="0"/>
              <w:widowControl/>
              <w:suppressLineNumbers w:val="0"/>
              <w:spacing w:before="0" w:beforeAutospacing="0" w:after="0" w:afterAutospacing="0"/>
              <w:ind w:left="0" w:right="0"/>
              <w:jc w:val="center"/>
            </w:pPr>
            <w:r>
              <w:drawing>
                <wp:inline distT="0" distB="0" distL="114300" distR="114300">
                  <wp:extent cx="4473575" cy="1111250"/>
                  <wp:effectExtent l="0" t="0" r="6985" b="127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7"/>
                          <a:stretch>
                            <a:fillRect/>
                          </a:stretch>
                        </pic:blipFill>
                        <pic:spPr>
                          <a:xfrm>
                            <a:off x="0" y="0"/>
                            <a:ext cx="4473575" cy="1111250"/>
                          </a:xfrm>
                          <a:prstGeom prst="rect">
                            <a:avLst/>
                          </a:prstGeom>
                          <a:noFill/>
                          <a:ln>
                            <a:noFill/>
                          </a:ln>
                        </pic:spPr>
                      </pic:pic>
                    </a:graphicData>
                  </a:graphic>
                </wp:inline>
              </w:drawing>
            </w:r>
          </w:p>
        </w:tc>
      </w:tr>
    </w:tbl>
    <w:p w14:paraId="60A37285">
      <w:pPr>
        <w:spacing w:before="80" w:after="200"/>
        <w:jc w:val="both"/>
      </w:pPr>
      <w:r>
        <w:br w:type="textWrapping"/>
      </w:r>
      <w:r>
        <w:rPr>
          <w:rFonts w:ascii="Times New Roman" w:hAnsi="Times New Roman" w:eastAsia="Times New Roman" w:cs="Times New Roman"/>
          <w:b/>
          <w:bCs/>
          <w:i/>
          <w:iCs/>
          <w:sz w:val="22"/>
          <w:szCs w:val="22"/>
        </w:rPr>
        <w:t>Figure 2: Multi-Series Line Chart Showing GDP Trends for Selected Countries, 1990–2020</w:t>
      </w:r>
    </w:p>
    <w:p w14:paraId="0926767C"/>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64"/>
      </w:tblGrid>
      <w:tr w14:paraId="3A2AF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8" w:space="0"/>
              <w:left w:val="single" w:color="2E75B6" w:sz="8" w:space="0"/>
              <w:bottom w:val="single" w:color="2E75B6" w:sz="8" w:space="0"/>
              <w:right w:val="single" w:color="2E75B6" w:sz="8" w:space="0"/>
            </w:tcBorders>
            <w:shd w:val="clear" w:color="auto" w:fill="EBF3FB"/>
            <w:tcMar>
              <w:top w:w="400" w:type="dxa"/>
              <w:left w:w="400" w:type="dxa"/>
              <w:bottom w:w="400" w:type="dxa"/>
              <w:right w:w="400" w:type="dxa"/>
            </w:tcMar>
            <w:vAlign w:val="center"/>
          </w:tcPr>
          <w:p w14:paraId="3DB60650">
            <w:pPr>
              <w:jc w:val="center"/>
            </w:pPr>
            <w:r>
              <w:drawing>
                <wp:inline distT="0" distB="0" distL="114300" distR="114300">
                  <wp:extent cx="5501640" cy="58610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501640" cy="586105"/>
                          </a:xfrm>
                          <a:prstGeom prst="rect">
                            <a:avLst/>
                          </a:prstGeom>
                          <a:noFill/>
                          <a:ln>
                            <a:noFill/>
                          </a:ln>
                        </pic:spPr>
                      </pic:pic>
                    </a:graphicData>
                  </a:graphic>
                </wp:inline>
              </w:drawing>
            </w:r>
          </w:p>
        </w:tc>
      </w:tr>
    </w:tbl>
    <w:p w14:paraId="5A4D5F0D">
      <w:pPr>
        <w:spacing w:before="80" w:after="200"/>
        <w:jc w:val="center"/>
      </w:pPr>
      <w:r>
        <w:rPr>
          <w:rFonts w:ascii="Times New Roman" w:hAnsi="Times New Roman" w:eastAsia="Times New Roman" w:cs="Times New Roman"/>
          <w:b/>
          <w:bCs/>
          <w:i/>
          <w:iCs/>
          <w:sz w:val="22"/>
          <w:szCs w:val="22"/>
        </w:rPr>
        <w:t xml:space="preserve">Figure </w:t>
      </w:r>
      <w:r>
        <w:rPr>
          <w:rFonts w:hint="default" w:cs="Times New Roman"/>
          <w:b/>
          <w:bCs/>
          <w:i/>
          <w:iCs/>
          <w:sz w:val="22"/>
          <w:szCs w:val="22"/>
          <w:lang w:val="en-US"/>
        </w:rPr>
        <w:t>3</w:t>
      </w:r>
      <w:r>
        <w:rPr>
          <w:rFonts w:ascii="Times New Roman" w:hAnsi="Times New Roman" w:eastAsia="Times New Roman" w:cs="Times New Roman"/>
          <w:b/>
          <w:bCs/>
          <w:i/>
          <w:iCs/>
          <w:sz w:val="22"/>
          <w:szCs w:val="22"/>
        </w:rPr>
        <w:t>: KPI Summary Cards Displaying Aggregated Values for Key Indicators</w:t>
      </w:r>
    </w:p>
    <w:p w14:paraId="06D50C35"/>
    <w:p w14:paraId="059B7FB1">
      <w:pPr>
        <w:spacing w:before="80" w:after="80"/>
        <w:jc w:val="center"/>
      </w:pPr>
      <w:r>
        <w:rPr>
          <w:rFonts w:ascii="Times New Roman" w:hAnsi="Times New Roman" w:eastAsia="Times New Roman" w:cs="Times New Roman"/>
          <w:b/>
          <w:bCs/>
          <w:sz w:val="22"/>
          <w:szCs w:val="22"/>
        </w:rPr>
        <w:t>Table 6: GDP Growth Rate – Year-on-Year Comparison (Selected Countries)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4C776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02AE32DC">
            <w:pPr>
              <w:jc w:val="center"/>
            </w:pPr>
            <w:r>
              <w:rPr>
                <w:rFonts w:ascii="Times New Roman" w:hAnsi="Times New Roman" w:eastAsia="Times New Roman" w:cs="Times New Roman"/>
                <w:b/>
                <w:bCs/>
                <w:color w:val="FFFFFF"/>
                <w:sz w:val="22"/>
                <w:szCs w:val="22"/>
              </w:rPr>
              <w:t>Country</w:t>
            </w:r>
          </w:p>
        </w:tc>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5E7D9CB7">
            <w:pPr>
              <w:jc w:val="center"/>
            </w:pPr>
            <w:r>
              <w:rPr>
                <w:rFonts w:ascii="Times New Roman" w:hAnsi="Times New Roman" w:eastAsia="Times New Roman" w:cs="Times New Roman"/>
                <w:b/>
                <w:bCs/>
                <w:color w:val="FFFFFF"/>
                <w:sz w:val="22"/>
                <w:szCs w:val="22"/>
              </w:rPr>
              <w:t>2000–2005 CAGR</w:t>
            </w:r>
          </w:p>
        </w:tc>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6F953F80">
            <w:pPr>
              <w:jc w:val="center"/>
            </w:pPr>
            <w:r>
              <w:rPr>
                <w:rFonts w:ascii="Times New Roman" w:hAnsi="Times New Roman" w:eastAsia="Times New Roman" w:cs="Times New Roman"/>
                <w:b/>
                <w:bCs/>
                <w:color w:val="FFFFFF"/>
                <w:sz w:val="22"/>
                <w:szCs w:val="22"/>
              </w:rPr>
              <w:t>2005–2010 CAGR</w:t>
            </w:r>
          </w:p>
        </w:tc>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21DD23DA">
            <w:pPr>
              <w:jc w:val="center"/>
            </w:pPr>
            <w:r>
              <w:rPr>
                <w:rFonts w:ascii="Times New Roman" w:hAnsi="Times New Roman" w:eastAsia="Times New Roman" w:cs="Times New Roman"/>
                <w:b/>
                <w:bCs/>
                <w:color w:val="FFFFFF"/>
                <w:sz w:val="22"/>
                <w:szCs w:val="22"/>
              </w:rPr>
              <w:t>2010–2015 CAGR</w:t>
            </w:r>
          </w:p>
        </w:tc>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4CB3482D">
            <w:pPr>
              <w:jc w:val="center"/>
            </w:pPr>
            <w:r>
              <w:rPr>
                <w:rFonts w:ascii="Times New Roman" w:hAnsi="Times New Roman" w:eastAsia="Times New Roman" w:cs="Times New Roman"/>
                <w:b/>
                <w:bCs/>
                <w:color w:val="FFFFFF"/>
                <w:sz w:val="22"/>
                <w:szCs w:val="22"/>
              </w:rPr>
              <w:t>2015–2020 CAGR</w:t>
            </w:r>
          </w:p>
        </w:tc>
      </w:tr>
      <w:tr w14:paraId="06666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6443392">
            <w:pPr>
              <w:jc w:val="center"/>
            </w:pPr>
            <w:r>
              <w:rPr>
                <w:rFonts w:ascii="Times New Roman" w:hAnsi="Times New Roman" w:eastAsia="Times New Roman" w:cs="Times New Roman"/>
                <w:sz w:val="22"/>
                <w:szCs w:val="22"/>
              </w:rPr>
              <w:t>United States</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2AC9B11">
            <w:pPr>
              <w:jc w:val="center"/>
            </w:pPr>
            <w:r>
              <w:rPr>
                <w:rFonts w:ascii="Times New Roman" w:hAnsi="Times New Roman" w:eastAsia="Times New Roman" w:cs="Times New Roman"/>
                <w:sz w:val="22"/>
                <w:szCs w:val="22"/>
              </w:rPr>
              <w:t>3.4%</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37B182F">
            <w:pPr>
              <w:jc w:val="center"/>
            </w:pPr>
            <w:r>
              <w:rPr>
                <w:rFonts w:ascii="Times New Roman" w:hAnsi="Times New Roman" w:eastAsia="Times New Roman" w:cs="Times New Roman"/>
                <w:sz w:val="22"/>
                <w:szCs w:val="22"/>
              </w:rPr>
              <w:t>1.2%</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041EBDE">
            <w:pPr>
              <w:jc w:val="center"/>
            </w:pPr>
            <w:r>
              <w:rPr>
                <w:rFonts w:ascii="Times New Roman" w:hAnsi="Times New Roman" w:eastAsia="Times New Roman" w:cs="Times New Roman"/>
                <w:sz w:val="22"/>
                <w:szCs w:val="22"/>
              </w:rPr>
              <w:t>3.9%</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1C38E7C">
            <w:pPr>
              <w:jc w:val="center"/>
            </w:pPr>
            <w:r>
              <w:rPr>
                <w:rFonts w:ascii="Times New Roman" w:hAnsi="Times New Roman" w:eastAsia="Times New Roman" w:cs="Times New Roman"/>
                <w:sz w:val="22"/>
                <w:szCs w:val="22"/>
              </w:rPr>
              <w:t>2.8%</w:t>
            </w:r>
          </w:p>
        </w:tc>
      </w:tr>
      <w:tr w14:paraId="7BAB9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6490BCB7">
            <w:pPr>
              <w:jc w:val="center"/>
            </w:pPr>
            <w:r>
              <w:rPr>
                <w:rFonts w:ascii="Times New Roman" w:hAnsi="Times New Roman" w:eastAsia="Times New Roman" w:cs="Times New Roman"/>
                <w:sz w:val="22"/>
                <w:szCs w:val="22"/>
              </w:rPr>
              <w:t>China</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63C066DC">
            <w:pPr>
              <w:jc w:val="center"/>
            </w:pPr>
            <w:r>
              <w:rPr>
                <w:rFonts w:ascii="Times New Roman" w:hAnsi="Times New Roman" w:eastAsia="Times New Roman" w:cs="Times New Roman"/>
                <w:sz w:val="22"/>
                <w:szCs w:val="22"/>
              </w:rPr>
              <w:t>13.8%</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69A8BE0D">
            <w:pPr>
              <w:jc w:val="center"/>
            </w:pPr>
            <w:r>
              <w:rPr>
                <w:rFonts w:ascii="Times New Roman" w:hAnsi="Times New Roman" w:eastAsia="Times New Roman" w:cs="Times New Roman"/>
                <w:sz w:val="22"/>
                <w:szCs w:val="22"/>
              </w:rPr>
              <w:t>14.2%</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2A7EAB2">
            <w:pPr>
              <w:jc w:val="center"/>
            </w:pPr>
            <w:r>
              <w:rPr>
                <w:rFonts w:ascii="Times New Roman" w:hAnsi="Times New Roman" w:eastAsia="Times New Roman" w:cs="Times New Roman"/>
                <w:sz w:val="22"/>
                <w:szCs w:val="22"/>
              </w:rPr>
              <w:t>8.6%</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07CCC716">
            <w:pPr>
              <w:jc w:val="center"/>
            </w:pPr>
            <w:r>
              <w:rPr>
                <w:rFonts w:ascii="Times New Roman" w:hAnsi="Times New Roman" w:eastAsia="Times New Roman" w:cs="Times New Roman"/>
                <w:sz w:val="22"/>
                <w:szCs w:val="22"/>
              </w:rPr>
              <w:t>6.1%</w:t>
            </w:r>
          </w:p>
        </w:tc>
      </w:tr>
      <w:tr w14:paraId="69F8E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A5760A3">
            <w:pPr>
              <w:jc w:val="center"/>
            </w:pPr>
            <w:r>
              <w:rPr>
                <w:rFonts w:ascii="Times New Roman" w:hAnsi="Times New Roman" w:eastAsia="Times New Roman" w:cs="Times New Roman"/>
                <w:sz w:val="22"/>
                <w:szCs w:val="22"/>
              </w:rPr>
              <w:t>India</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A8405B8">
            <w:pPr>
              <w:jc w:val="center"/>
            </w:pPr>
            <w:r>
              <w:rPr>
                <w:rFonts w:ascii="Times New Roman" w:hAnsi="Times New Roman" w:eastAsia="Times New Roman" w:cs="Times New Roman"/>
                <w:sz w:val="22"/>
                <w:szCs w:val="22"/>
              </w:rPr>
              <w:t>11.3%</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03FD8A8">
            <w:pPr>
              <w:jc w:val="center"/>
            </w:pPr>
            <w:r>
              <w:rPr>
                <w:rFonts w:ascii="Times New Roman" w:hAnsi="Times New Roman" w:eastAsia="Times New Roman" w:cs="Times New Roman"/>
                <w:sz w:val="22"/>
                <w:szCs w:val="22"/>
              </w:rPr>
              <w:t>13.1%</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09D8A1E">
            <w:pPr>
              <w:jc w:val="center"/>
            </w:pPr>
            <w:r>
              <w:rPr>
                <w:rFonts w:ascii="Times New Roman" w:hAnsi="Times New Roman" w:eastAsia="Times New Roman" w:cs="Times New Roman"/>
                <w:sz w:val="22"/>
                <w:szCs w:val="22"/>
              </w:rPr>
              <w:t>8.2%</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A473DEE">
            <w:pPr>
              <w:jc w:val="center"/>
            </w:pPr>
            <w:r>
              <w:rPr>
                <w:rFonts w:ascii="Times New Roman" w:hAnsi="Times New Roman" w:eastAsia="Times New Roman" w:cs="Times New Roman"/>
                <w:sz w:val="22"/>
                <w:szCs w:val="22"/>
              </w:rPr>
              <w:t>5.3%</w:t>
            </w:r>
          </w:p>
        </w:tc>
      </w:tr>
      <w:tr w14:paraId="60C9C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083D24E">
            <w:pPr>
              <w:jc w:val="center"/>
            </w:pPr>
            <w:r>
              <w:rPr>
                <w:rFonts w:ascii="Times New Roman" w:hAnsi="Times New Roman" w:eastAsia="Times New Roman" w:cs="Times New Roman"/>
                <w:sz w:val="22"/>
                <w:szCs w:val="22"/>
              </w:rPr>
              <w:t>Germany</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24F7080">
            <w:pPr>
              <w:jc w:val="center"/>
            </w:pPr>
            <w:r>
              <w:rPr>
                <w:rFonts w:ascii="Times New Roman" w:hAnsi="Times New Roman" w:eastAsia="Times New Roman" w:cs="Times New Roman"/>
                <w:sz w:val="22"/>
                <w:szCs w:val="22"/>
              </w:rPr>
              <w:t>3.1%</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BA60A49">
            <w:pPr>
              <w:jc w:val="center"/>
            </w:pPr>
            <w:r>
              <w:rPr>
                <w:rFonts w:ascii="Times New Roman" w:hAnsi="Times New Roman" w:eastAsia="Times New Roman" w:cs="Times New Roman"/>
                <w:sz w:val="22"/>
                <w:szCs w:val="22"/>
              </w:rPr>
              <w:t>1.4%</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95C6A54">
            <w:pPr>
              <w:jc w:val="center"/>
            </w:pPr>
            <w:r>
              <w:rPr>
                <w:rFonts w:ascii="Times New Roman" w:hAnsi="Times New Roman" w:eastAsia="Times New Roman" w:cs="Times New Roman"/>
                <w:sz w:val="22"/>
                <w:szCs w:val="22"/>
              </w:rPr>
              <w:t>3.0%</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6AB91F8">
            <w:pPr>
              <w:jc w:val="center"/>
            </w:pPr>
            <w:r>
              <w:rPr>
                <w:rFonts w:ascii="Times New Roman" w:hAnsi="Times New Roman" w:eastAsia="Times New Roman" w:cs="Times New Roman"/>
                <w:sz w:val="22"/>
                <w:szCs w:val="22"/>
              </w:rPr>
              <w:t>1.9%</w:t>
            </w:r>
          </w:p>
        </w:tc>
      </w:tr>
      <w:tr w14:paraId="6A73C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C818CB3">
            <w:pPr>
              <w:jc w:val="center"/>
            </w:pPr>
            <w:r>
              <w:rPr>
                <w:rFonts w:ascii="Times New Roman" w:hAnsi="Times New Roman" w:eastAsia="Times New Roman" w:cs="Times New Roman"/>
                <w:sz w:val="22"/>
                <w:szCs w:val="22"/>
              </w:rPr>
              <w:t>Brazil</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76398454">
            <w:pPr>
              <w:jc w:val="center"/>
            </w:pPr>
            <w:r>
              <w:rPr>
                <w:rFonts w:ascii="Times New Roman" w:hAnsi="Times New Roman" w:eastAsia="Times New Roman" w:cs="Times New Roman"/>
                <w:sz w:val="22"/>
                <w:szCs w:val="22"/>
              </w:rPr>
              <w:t>8.9%</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3F7A499">
            <w:pPr>
              <w:jc w:val="center"/>
            </w:pPr>
            <w:r>
              <w:rPr>
                <w:rFonts w:ascii="Times New Roman" w:hAnsi="Times New Roman" w:eastAsia="Times New Roman" w:cs="Times New Roman"/>
                <w:sz w:val="22"/>
                <w:szCs w:val="22"/>
              </w:rPr>
              <w:t>7.2%</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D8AD5AE">
            <w:pPr>
              <w:jc w:val="center"/>
            </w:pPr>
            <w:r>
              <w:rPr>
                <w:rFonts w:ascii="Times New Roman" w:hAnsi="Times New Roman" w:eastAsia="Times New Roman" w:cs="Times New Roman"/>
                <w:sz w:val="22"/>
                <w:szCs w:val="22"/>
              </w:rPr>
              <w:t>2.1%</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E8F7DEB">
            <w:pPr>
              <w:jc w:val="center"/>
            </w:pPr>
            <w:r>
              <w:rPr>
                <w:rFonts w:ascii="Times New Roman" w:hAnsi="Times New Roman" w:eastAsia="Times New Roman" w:cs="Times New Roman"/>
                <w:sz w:val="22"/>
                <w:szCs w:val="22"/>
              </w:rPr>
              <w:t>-1.1%</w:t>
            </w:r>
          </w:p>
        </w:tc>
      </w:tr>
      <w:tr w14:paraId="7640C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F7F4F1C">
            <w:pPr>
              <w:jc w:val="center"/>
            </w:pPr>
            <w:r>
              <w:rPr>
                <w:rFonts w:ascii="Times New Roman" w:hAnsi="Times New Roman" w:eastAsia="Times New Roman" w:cs="Times New Roman"/>
                <w:sz w:val="22"/>
                <w:szCs w:val="22"/>
              </w:rPr>
              <w:t>Japan</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0A80E4D">
            <w:pPr>
              <w:jc w:val="center"/>
            </w:pPr>
            <w:r>
              <w:rPr>
                <w:rFonts w:ascii="Times New Roman" w:hAnsi="Times New Roman" w:eastAsia="Times New Roman" w:cs="Times New Roman"/>
                <w:sz w:val="22"/>
                <w:szCs w:val="22"/>
              </w:rPr>
              <w:t>1.2%</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B76FCD6">
            <w:pPr>
              <w:jc w:val="center"/>
            </w:pPr>
            <w:r>
              <w:rPr>
                <w:rFonts w:ascii="Times New Roman" w:hAnsi="Times New Roman" w:eastAsia="Times New Roman" w:cs="Times New Roman"/>
                <w:sz w:val="22"/>
                <w:szCs w:val="22"/>
              </w:rPr>
              <w:t>-1.4%</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61D1D161">
            <w:pPr>
              <w:jc w:val="center"/>
            </w:pPr>
            <w:r>
              <w:rPr>
                <w:rFonts w:ascii="Times New Roman" w:hAnsi="Times New Roman" w:eastAsia="Times New Roman" w:cs="Times New Roman"/>
                <w:sz w:val="22"/>
                <w:szCs w:val="22"/>
              </w:rPr>
              <w:t>1.8%</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16531FC">
            <w:pPr>
              <w:jc w:val="center"/>
            </w:pPr>
            <w:r>
              <w:rPr>
                <w:rFonts w:ascii="Times New Roman" w:hAnsi="Times New Roman" w:eastAsia="Times New Roman" w:cs="Times New Roman"/>
                <w:sz w:val="22"/>
                <w:szCs w:val="22"/>
              </w:rPr>
              <w:t>0.4%</w:t>
            </w:r>
          </w:p>
        </w:tc>
      </w:tr>
      <w:tr w14:paraId="61900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7890BC0F">
            <w:pPr>
              <w:jc w:val="center"/>
            </w:pPr>
            <w:r>
              <w:rPr>
                <w:rFonts w:ascii="Times New Roman" w:hAnsi="Times New Roman" w:eastAsia="Times New Roman" w:cs="Times New Roman"/>
                <w:sz w:val="22"/>
                <w:szCs w:val="22"/>
              </w:rPr>
              <w:t>Nigeria</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E5AE6DC">
            <w:pPr>
              <w:jc w:val="center"/>
            </w:pPr>
            <w:r>
              <w:rPr>
                <w:rFonts w:ascii="Times New Roman" w:hAnsi="Times New Roman" w:eastAsia="Times New Roman" w:cs="Times New Roman"/>
                <w:sz w:val="22"/>
                <w:szCs w:val="22"/>
              </w:rPr>
              <w:t>14.1%</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DD5FAFD">
            <w:pPr>
              <w:jc w:val="center"/>
            </w:pPr>
            <w:r>
              <w:rPr>
                <w:rFonts w:ascii="Times New Roman" w:hAnsi="Times New Roman" w:eastAsia="Times New Roman" w:cs="Times New Roman"/>
                <w:sz w:val="22"/>
                <w:szCs w:val="22"/>
              </w:rPr>
              <w:t>10.3%</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5CC7C8F">
            <w:pPr>
              <w:jc w:val="center"/>
            </w:pPr>
            <w:r>
              <w:rPr>
                <w:rFonts w:ascii="Times New Roman" w:hAnsi="Times New Roman" w:eastAsia="Times New Roman" w:cs="Times New Roman"/>
                <w:sz w:val="22"/>
                <w:szCs w:val="22"/>
              </w:rPr>
              <w:t>4.2%</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D59BCE9">
            <w:pPr>
              <w:jc w:val="center"/>
            </w:pPr>
            <w:r>
              <w:rPr>
                <w:rFonts w:ascii="Times New Roman" w:hAnsi="Times New Roman" w:eastAsia="Times New Roman" w:cs="Times New Roman"/>
                <w:sz w:val="22"/>
                <w:szCs w:val="22"/>
              </w:rPr>
              <w:t>0.6%</w:t>
            </w:r>
          </w:p>
        </w:tc>
      </w:tr>
    </w:tbl>
    <w:p w14:paraId="59EC9CC3">
      <w:pPr>
        <w:pStyle w:val="3"/>
        <w:spacing w:before="280" w:after="160"/>
      </w:pPr>
      <w:r>
        <w:rPr>
          <w:rFonts w:ascii="Times New Roman" w:hAnsi="Times New Roman" w:eastAsia="Times New Roman" w:cs="Times New Roman"/>
          <w:b/>
          <w:bCs/>
          <w:sz w:val="28"/>
          <w:szCs w:val="28"/>
        </w:rPr>
        <w:t>4.2 Objective 2 – Population Growth Dynamics</w:t>
      </w:r>
    </w:p>
    <w:p w14:paraId="24236DF2">
      <w:pPr>
        <w:pStyle w:val="4"/>
        <w:spacing w:before="240" w:after="120"/>
      </w:pPr>
      <w:r>
        <w:rPr>
          <w:rFonts w:ascii="Times New Roman" w:hAnsi="Times New Roman" w:eastAsia="Times New Roman" w:cs="Times New Roman"/>
          <w:b/>
          <w:bCs/>
          <w:sz w:val="26"/>
          <w:szCs w:val="26"/>
        </w:rPr>
        <w:t>4.2.1 General Description</w:t>
      </w:r>
    </w:p>
    <w:p w14:paraId="70E7E0C7">
      <w:pPr>
        <w:spacing w:before="0" w:after="160" w:line="360" w:lineRule="auto"/>
        <w:jc w:val="both"/>
      </w:pPr>
      <w:r>
        <w:rPr>
          <w:rFonts w:ascii="Times New Roman" w:hAnsi="Times New Roman" w:eastAsia="Times New Roman" w:cs="Times New Roman"/>
          <w:b w:val="0"/>
          <w:bCs w:val="0"/>
          <w:i w:val="0"/>
          <w:iCs w:val="0"/>
          <w:sz w:val="24"/>
          <w:szCs w:val="24"/>
        </w:rPr>
        <w:t>Population dynamics are among the most fundamental determinants of a country's economic trajectory, resource consumption patterns, and long-term development challenges. Understanding the rate, composition, and geographic distribution of population growth is essential for anticipating future demands on education systems, healthcare infrastructure, food production, energy supply, and water resources. This objective focuses on examining the population trajectories of the countries in the dataset over the 1990–2020 study period, with particular attention to the divergence between rapidly growing developing economies and the demographically stagnant or shrinking populations of some high-income nations.</w:t>
      </w:r>
    </w:p>
    <w:p w14:paraId="0E7F1A5A">
      <w:pPr>
        <w:spacing w:before="0" w:after="160" w:line="360" w:lineRule="auto"/>
        <w:jc w:val="both"/>
      </w:pPr>
      <w:r>
        <w:rPr>
          <w:rFonts w:ascii="Times New Roman" w:hAnsi="Times New Roman" w:eastAsia="Times New Roman" w:cs="Times New Roman"/>
          <w:b w:val="0"/>
          <w:bCs w:val="0"/>
          <w:i w:val="0"/>
          <w:iCs w:val="0"/>
          <w:sz w:val="24"/>
          <w:szCs w:val="24"/>
        </w:rPr>
        <w:t>The global population grew from approximately 5.3 billion in 1990 to over 7.8 billion in 2020, representing an increase of approximately 47% in thirty years. This growth has been highly uneven in its geographic distribution, with the overwhelming majority of new population additions occurring in Sub-Saharan Africa, South Asia, and parts of Southeast Asia, while Europe, Japan, and South Korea face the opposite challenge of aging populations, low fertility rates, and in some cases absolute population decline.</w:t>
      </w:r>
    </w:p>
    <w:p w14:paraId="0FF469A0">
      <w:pPr>
        <w:pStyle w:val="4"/>
        <w:spacing w:before="240" w:after="120"/>
      </w:pPr>
      <w:r>
        <w:rPr>
          <w:rFonts w:ascii="Times New Roman" w:hAnsi="Times New Roman" w:eastAsia="Times New Roman" w:cs="Times New Roman"/>
          <w:b/>
          <w:bCs/>
          <w:sz w:val="26"/>
          <w:szCs w:val="26"/>
        </w:rPr>
        <w:t>4.2.2 Specific Requirements</w:t>
      </w:r>
    </w:p>
    <w:p w14:paraId="682B1530">
      <w:pPr>
        <w:spacing w:before="0" w:after="160" w:line="360" w:lineRule="auto"/>
        <w:jc w:val="both"/>
      </w:pPr>
      <w:r>
        <w:rPr>
          <w:rFonts w:ascii="Times New Roman" w:hAnsi="Times New Roman" w:eastAsia="Times New Roman" w:cs="Times New Roman"/>
          <w:b w:val="0"/>
          <w:bCs w:val="0"/>
          <w:i w:val="0"/>
          <w:iCs w:val="0"/>
          <w:sz w:val="24"/>
          <w:szCs w:val="24"/>
        </w:rPr>
        <w:t>The specific analytical requirements for this objective include the following:</w:t>
      </w:r>
    </w:p>
    <w:p w14:paraId="77E703C0">
      <w:pPr>
        <w:pStyle w:val="16"/>
        <w:numPr>
          <w:ilvl w:val="0"/>
          <w:numId w:val="1"/>
        </w:numPr>
        <w:spacing w:after="120" w:line="360" w:lineRule="auto"/>
      </w:pPr>
      <w:r>
        <w:rPr>
          <w:rFonts w:ascii="Times New Roman" w:hAnsi="Times New Roman" w:eastAsia="Times New Roman" w:cs="Times New Roman"/>
          <w:sz w:val="24"/>
          <w:szCs w:val="24"/>
        </w:rPr>
        <w:t>Construction of a multi-series line chart displaying population trajectories for selected countries, with Year on the horizontal axis and total population (absolute count) on the vertical axis.</w:t>
      </w:r>
    </w:p>
    <w:p w14:paraId="1130C908">
      <w:pPr>
        <w:pStyle w:val="16"/>
        <w:numPr>
          <w:ilvl w:val="0"/>
          <w:numId w:val="1"/>
        </w:numPr>
        <w:spacing w:after="120" w:line="360" w:lineRule="auto"/>
      </w:pPr>
      <w:r>
        <w:rPr>
          <w:rFonts w:ascii="Times New Roman" w:hAnsi="Times New Roman" w:eastAsia="Times New Roman" w:cs="Times New Roman"/>
          <w:sz w:val="24"/>
          <w:szCs w:val="24"/>
        </w:rPr>
        <w:t>Calculation of the annual population growth rate for each country using the derived year-on-year percentage change measure.</w:t>
      </w:r>
    </w:p>
    <w:p w14:paraId="2E78C46D">
      <w:pPr>
        <w:pStyle w:val="16"/>
        <w:numPr>
          <w:ilvl w:val="0"/>
          <w:numId w:val="1"/>
        </w:numPr>
        <w:spacing w:after="120" w:line="360" w:lineRule="auto"/>
      </w:pPr>
      <w:r>
        <w:rPr>
          <w:rFonts w:ascii="Times New Roman" w:hAnsi="Times New Roman" w:eastAsia="Times New Roman" w:cs="Times New Roman"/>
          <w:sz w:val="24"/>
          <w:szCs w:val="24"/>
        </w:rPr>
        <w:t>Identification of the countries with the highest and lowest population growth rates over the study period.</w:t>
      </w:r>
    </w:p>
    <w:p w14:paraId="360D5F73">
      <w:pPr>
        <w:pStyle w:val="16"/>
        <w:numPr>
          <w:ilvl w:val="0"/>
          <w:numId w:val="1"/>
        </w:numPr>
        <w:spacing w:after="120" w:line="360" w:lineRule="auto"/>
      </w:pPr>
      <w:r>
        <w:rPr>
          <w:rFonts w:ascii="Times New Roman" w:hAnsi="Times New Roman" w:eastAsia="Times New Roman" w:cs="Times New Roman"/>
          <w:sz w:val="24"/>
          <w:szCs w:val="24"/>
        </w:rPr>
        <w:t>Examination of how population size correlates with GDP growth, using the GDP per capita measure as a normalized economic indicator.</w:t>
      </w:r>
    </w:p>
    <w:p w14:paraId="2E3F3A09">
      <w:pPr>
        <w:pStyle w:val="16"/>
        <w:numPr>
          <w:ilvl w:val="0"/>
          <w:numId w:val="1"/>
        </w:numPr>
        <w:spacing w:after="120" w:line="360" w:lineRule="auto"/>
      </w:pPr>
      <w:r>
        <w:rPr>
          <w:rFonts w:ascii="Times New Roman" w:hAnsi="Times New Roman" w:eastAsia="Times New Roman" w:cs="Times New Roman"/>
          <w:sz w:val="24"/>
          <w:szCs w:val="24"/>
        </w:rPr>
        <w:t>Display of current population as a KPI card metric on the interactive dashboard.</w:t>
      </w:r>
    </w:p>
    <w:p w14:paraId="3D4C16E8">
      <w:pPr>
        <w:pStyle w:val="4"/>
        <w:spacing w:before="240" w:after="120"/>
      </w:pPr>
      <w:r>
        <w:rPr>
          <w:rFonts w:ascii="Times New Roman" w:hAnsi="Times New Roman" w:eastAsia="Times New Roman" w:cs="Times New Roman"/>
          <w:b/>
          <w:bCs/>
          <w:sz w:val="26"/>
          <w:szCs w:val="26"/>
        </w:rPr>
        <w:t>4.2.3 Step-by-Step Analysis</w:t>
      </w:r>
    </w:p>
    <w:p w14:paraId="299B4628">
      <w:pPr>
        <w:pStyle w:val="16"/>
        <w:numPr>
          <w:ilvl w:val="0"/>
          <w:numId w:val="2"/>
        </w:numPr>
        <w:spacing w:after="120" w:line="360" w:lineRule="auto"/>
      </w:pPr>
      <w:r>
        <w:rPr>
          <w:rFonts w:ascii="Times New Roman" w:hAnsi="Times New Roman" w:eastAsia="Times New Roman" w:cs="Times New Roman"/>
          <w:sz w:val="24"/>
          <w:szCs w:val="24"/>
        </w:rPr>
        <w:t>Step 1 – Indicator Selection: The Indicator slicer on the dashboard was set to "Population" to filter the dataset to population-specific records. The Country slicer was configured to display a representative subset of ten countries spanning different regional and demographic profiles.</w:t>
      </w:r>
    </w:p>
    <w:p w14:paraId="19BAF996">
      <w:pPr>
        <w:pStyle w:val="16"/>
        <w:numPr>
          <w:ilvl w:val="0"/>
          <w:numId w:val="2"/>
        </w:numPr>
        <w:spacing w:after="120" w:line="360" w:lineRule="auto"/>
      </w:pPr>
      <w:r>
        <w:rPr>
          <w:rFonts w:ascii="Times New Roman" w:hAnsi="Times New Roman" w:eastAsia="Times New Roman" w:cs="Times New Roman"/>
          <w:sz w:val="24"/>
          <w:szCs w:val="24"/>
        </w:rPr>
        <w:t>Step 2 – Line Chart Visualization: A second line chart visual titled "Population Growth" was configured with Year as the Category axis, Sum(Value) as the Y measure, and Country as the Series field. This chart mirrors the structural configuration of the GDP chart but represents population data.</w:t>
      </w:r>
    </w:p>
    <w:p w14:paraId="3FA3CEE1">
      <w:pPr>
        <w:pStyle w:val="16"/>
        <w:numPr>
          <w:ilvl w:val="0"/>
          <w:numId w:val="2"/>
        </w:numPr>
        <w:spacing w:after="120" w:line="360" w:lineRule="auto"/>
      </w:pPr>
      <w:r>
        <w:rPr>
          <w:rFonts w:ascii="Times New Roman" w:hAnsi="Times New Roman" w:eastAsia="Times New Roman" w:cs="Times New Roman"/>
          <w:sz w:val="24"/>
          <w:szCs w:val="24"/>
        </w:rPr>
        <w:t>Step 3 – Growth Rate Calculation: The DAX measure Pop_Growth_YoY was applied to compute annual growth rates, which were used to annotate the primary chart and populate the population statistics summary table.</w:t>
      </w:r>
    </w:p>
    <w:p w14:paraId="1E8E8C4D">
      <w:pPr>
        <w:pStyle w:val="16"/>
        <w:numPr>
          <w:ilvl w:val="0"/>
          <w:numId w:val="2"/>
        </w:numPr>
        <w:spacing w:after="120" w:line="360" w:lineRule="auto"/>
      </w:pPr>
      <w:r>
        <w:rPr>
          <w:rFonts w:ascii="Times New Roman" w:hAnsi="Times New Roman" w:eastAsia="Times New Roman" w:cs="Times New Roman"/>
          <w:sz w:val="24"/>
          <w:szCs w:val="24"/>
        </w:rPr>
        <w:t>Step 4 – KPI Card Update: The Population KPI card was observed to dynamically update in response to country and year slicer adjustments, displaying the total population figure for the current selection.</w:t>
      </w:r>
    </w:p>
    <w:p w14:paraId="0DE661BC">
      <w:pPr>
        <w:pStyle w:val="16"/>
        <w:numPr>
          <w:ilvl w:val="0"/>
          <w:numId w:val="2"/>
        </w:numPr>
        <w:spacing w:after="120" w:line="360" w:lineRule="auto"/>
      </w:pPr>
      <w:r>
        <w:rPr>
          <w:rFonts w:ascii="Times New Roman" w:hAnsi="Times New Roman" w:eastAsia="Times New Roman" w:cs="Times New Roman"/>
          <w:sz w:val="24"/>
          <w:szCs w:val="24"/>
        </w:rPr>
        <w:t>Step 5 – Correlation Assessment: A scatter chart was constructed in a secondary analysis view to examine the relationship between per capita GDP and population growth rate across countries and years.</w:t>
      </w:r>
    </w:p>
    <w:p w14:paraId="13307D1A">
      <w:pPr>
        <w:pStyle w:val="4"/>
        <w:spacing w:before="240" w:after="120"/>
      </w:pPr>
      <w:r>
        <w:rPr>
          <w:rFonts w:ascii="Times New Roman" w:hAnsi="Times New Roman" w:eastAsia="Times New Roman" w:cs="Times New Roman"/>
          <w:b/>
          <w:bCs/>
          <w:sz w:val="26"/>
          <w:szCs w:val="26"/>
        </w:rPr>
        <w:t>4.2.4 Interpretation of Results</w:t>
      </w:r>
    </w:p>
    <w:p w14:paraId="4D3660D7">
      <w:pPr>
        <w:spacing w:before="0" w:after="160" w:line="360" w:lineRule="auto"/>
        <w:jc w:val="both"/>
      </w:pPr>
      <w:r>
        <w:rPr>
          <w:rFonts w:ascii="Times New Roman" w:hAnsi="Times New Roman" w:eastAsia="Times New Roman" w:cs="Times New Roman"/>
          <w:b w:val="0"/>
          <w:bCs w:val="0"/>
          <w:i w:val="0"/>
          <w:iCs w:val="0"/>
          <w:sz w:val="24"/>
          <w:szCs w:val="24"/>
        </w:rPr>
        <w:t>The population analysis reveals profoundly different demographic trajectories across the countries and regions included in the study. India and China, the two most populous countries in the dataset, dominate the absolute population figures throughout the study period. China's population grew from approximately 1.14 billion in 1990 to 1.41 billion in 2020, a modest increase of approximately 24%, largely attributable to the constraints imposed by the one-child policy implemented from 1980 to 2015. India's population, by contrast, grew from approximately 873 million in 1990 to 1.38 billion in 2020, a considerably more rapid increase of approximately 58%. On current trajectories, India is projected to surpass China as the world's most populous country, which in fact occurred in 2023 (just beyond the study period).</w:t>
      </w:r>
    </w:p>
    <w:p w14:paraId="10F9F788">
      <w:pPr>
        <w:spacing w:before="0" w:after="160" w:line="360" w:lineRule="auto"/>
        <w:jc w:val="both"/>
      </w:pPr>
      <w:r>
        <w:rPr>
          <w:rFonts w:ascii="Times New Roman" w:hAnsi="Times New Roman" w:eastAsia="Times New Roman" w:cs="Times New Roman"/>
          <w:b w:val="0"/>
          <w:bCs w:val="0"/>
          <w:i w:val="0"/>
          <w:iCs w:val="0"/>
          <w:sz w:val="24"/>
          <w:szCs w:val="24"/>
        </w:rPr>
        <w:t>Sub-Saharan African countries, exemplified in this analysis by Nigeria, demonstrate the highest population growth rates in the dataset. Nigeria's population more than doubled over the study period, growing from approximately 96 million in 1990 to approximately 206 million in 2020. This extraordinary demographic expansion, driven by high fertility rates and declining infant mortality, has significant implications for Nigeria's economic development, as the country must create enormous quantities of productive employment to absorb a rapidly expanding youth labour force.</w:t>
      </w:r>
    </w:p>
    <w:p w14:paraId="0E137919">
      <w:pPr>
        <w:spacing w:before="0" w:after="160" w:line="360" w:lineRule="auto"/>
        <w:jc w:val="both"/>
      </w:pPr>
      <w:r>
        <w:rPr>
          <w:rFonts w:ascii="Times New Roman" w:hAnsi="Times New Roman" w:eastAsia="Times New Roman" w:cs="Times New Roman"/>
          <w:b w:val="0"/>
          <w:bCs w:val="0"/>
          <w:i w:val="0"/>
          <w:iCs w:val="0"/>
          <w:sz w:val="24"/>
          <w:szCs w:val="24"/>
        </w:rPr>
        <w:t>At the other end of the demographic spectrum, Japan's population shows clear evidence of the aging and shrinkage that characterize post-demographic-transition societies. Japan's population peaked at approximately 128 million in 2010 and had already begun declining by the end of the study period, falling to approximately 125.7 million by 2020. This demographic trajectory, combined with Japan's very low immigration rates, creates significant headwinds for economic growth, as a shrinking workforce constrains productive capacity and an aging population increases fiscal pressures on pension and healthcare systems.</w:t>
      </w:r>
    </w:p>
    <w:p w14:paraId="62687520">
      <w:pPr>
        <w:spacing w:before="0" w:after="160" w:line="360" w:lineRule="auto"/>
        <w:jc w:val="both"/>
      </w:pPr>
      <w:r>
        <w:rPr>
          <w:rFonts w:ascii="Times New Roman" w:hAnsi="Times New Roman" w:eastAsia="Times New Roman" w:cs="Times New Roman"/>
          <w:b w:val="0"/>
          <w:bCs w:val="0"/>
          <w:i w:val="0"/>
          <w:iCs w:val="0"/>
          <w:sz w:val="24"/>
          <w:szCs w:val="24"/>
        </w:rPr>
        <w:t>European countries in the dataset (Germany, France, United Kingdom) show low but positive population growth rates, maintained largely through immigration, as their natural population growth rates (births minus deaths) are very low or negative. The United States, similarly, has maintained moderate positive population growth through a combination of natural increase (driven by above-average fertility rates relative to other high-income nations) and immigration.</w:t>
      </w:r>
    </w:p>
    <w:p w14:paraId="7B24F7AF"/>
    <w:p w14:paraId="414220FA">
      <w:pPr>
        <w:spacing w:before="80" w:after="80"/>
        <w:jc w:val="center"/>
      </w:pPr>
      <w:r>
        <w:rPr>
          <w:rFonts w:ascii="Times New Roman" w:hAnsi="Times New Roman" w:eastAsia="Times New Roman" w:cs="Times New Roman"/>
          <w:b/>
          <w:bCs/>
          <w:sz w:val="22"/>
          <w:szCs w:val="22"/>
        </w:rPr>
        <w:t>Table 7: Population Statistics – Highest Growth Rate Countries (1990–2020)</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08094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414E8CBC">
            <w:pPr>
              <w:jc w:val="center"/>
            </w:pPr>
            <w:r>
              <w:rPr>
                <w:rFonts w:ascii="Times New Roman" w:hAnsi="Times New Roman" w:eastAsia="Times New Roman" w:cs="Times New Roman"/>
                <w:b/>
                <w:bCs/>
                <w:color w:val="FFFFFF"/>
                <w:sz w:val="22"/>
                <w:szCs w:val="22"/>
              </w:rPr>
              <w:t>Country</w:t>
            </w:r>
          </w:p>
        </w:tc>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6C9F87BB">
            <w:pPr>
              <w:jc w:val="center"/>
            </w:pPr>
            <w:r>
              <w:rPr>
                <w:rFonts w:ascii="Times New Roman" w:hAnsi="Times New Roman" w:eastAsia="Times New Roman" w:cs="Times New Roman"/>
                <w:b/>
                <w:bCs/>
                <w:color w:val="FFFFFF"/>
                <w:sz w:val="22"/>
                <w:szCs w:val="22"/>
              </w:rPr>
              <w:t>Population 1990</w:t>
            </w:r>
          </w:p>
        </w:tc>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547776D7">
            <w:pPr>
              <w:jc w:val="center"/>
            </w:pPr>
            <w:r>
              <w:rPr>
                <w:rFonts w:ascii="Times New Roman" w:hAnsi="Times New Roman" w:eastAsia="Times New Roman" w:cs="Times New Roman"/>
                <w:b/>
                <w:bCs/>
                <w:color w:val="FFFFFF"/>
                <w:sz w:val="22"/>
                <w:szCs w:val="22"/>
              </w:rPr>
              <w:t>Population 2020</w:t>
            </w:r>
          </w:p>
        </w:tc>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72D3C130">
            <w:pPr>
              <w:jc w:val="center"/>
            </w:pPr>
            <w:r>
              <w:rPr>
                <w:rFonts w:ascii="Times New Roman" w:hAnsi="Times New Roman" w:eastAsia="Times New Roman" w:cs="Times New Roman"/>
                <w:b/>
                <w:bCs/>
                <w:color w:val="FFFFFF"/>
                <w:sz w:val="22"/>
                <w:szCs w:val="22"/>
              </w:rPr>
              <w:t>Growth (Absolute)</w:t>
            </w:r>
          </w:p>
        </w:tc>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0325F34A">
            <w:pPr>
              <w:jc w:val="center"/>
            </w:pPr>
            <w:r>
              <w:rPr>
                <w:rFonts w:ascii="Times New Roman" w:hAnsi="Times New Roman" w:eastAsia="Times New Roman" w:cs="Times New Roman"/>
                <w:b/>
                <w:bCs/>
                <w:color w:val="FFFFFF"/>
                <w:sz w:val="22"/>
                <w:szCs w:val="22"/>
              </w:rPr>
              <w:t>Growth (%)</w:t>
            </w:r>
          </w:p>
        </w:tc>
      </w:tr>
      <w:tr w14:paraId="79E86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00DE846">
            <w:pPr>
              <w:jc w:val="center"/>
            </w:pPr>
            <w:r>
              <w:rPr>
                <w:rFonts w:ascii="Times New Roman" w:hAnsi="Times New Roman" w:eastAsia="Times New Roman" w:cs="Times New Roman"/>
                <w:sz w:val="22"/>
                <w:szCs w:val="22"/>
              </w:rPr>
              <w:t>Nigeria</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FF4A512">
            <w:pPr>
              <w:jc w:val="center"/>
            </w:pPr>
            <w:r>
              <w:rPr>
                <w:rFonts w:ascii="Times New Roman" w:hAnsi="Times New Roman" w:eastAsia="Times New Roman" w:cs="Times New Roman"/>
                <w:sz w:val="22"/>
                <w:szCs w:val="22"/>
              </w:rPr>
              <w:t>96.2M</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392BEFD">
            <w:pPr>
              <w:jc w:val="center"/>
            </w:pPr>
            <w:r>
              <w:rPr>
                <w:rFonts w:ascii="Times New Roman" w:hAnsi="Times New Roman" w:eastAsia="Times New Roman" w:cs="Times New Roman"/>
                <w:sz w:val="22"/>
                <w:szCs w:val="22"/>
              </w:rPr>
              <w:t>206.1M</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7F1B0092">
            <w:pPr>
              <w:jc w:val="center"/>
            </w:pPr>
            <w:r>
              <w:rPr>
                <w:rFonts w:ascii="Times New Roman" w:hAnsi="Times New Roman" w:eastAsia="Times New Roman" w:cs="Times New Roman"/>
                <w:sz w:val="22"/>
                <w:szCs w:val="22"/>
              </w:rPr>
              <w:t>+109.9M</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BFDF764">
            <w:pPr>
              <w:jc w:val="center"/>
            </w:pPr>
            <w:r>
              <w:rPr>
                <w:rFonts w:ascii="Times New Roman" w:hAnsi="Times New Roman" w:eastAsia="Times New Roman" w:cs="Times New Roman"/>
                <w:sz w:val="22"/>
                <w:szCs w:val="22"/>
              </w:rPr>
              <w:t>+114%</w:t>
            </w:r>
          </w:p>
        </w:tc>
      </w:tr>
      <w:tr w14:paraId="10E7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6F6655C0">
            <w:pPr>
              <w:jc w:val="center"/>
            </w:pPr>
            <w:r>
              <w:rPr>
                <w:rFonts w:ascii="Times New Roman" w:hAnsi="Times New Roman" w:eastAsia="Times New Roman" w:cs="Times New Roman"/>
                <w:sz w:val="22"/>
                <w:szCs w:val="22"/>
              </w:rPr>
              <w:t>Ethiopia</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F9F8244">
            <w:pPr>
              <w:jc w:val="center"/>
            </w:pPr>
            <w:r>
              <w:rPr>
                <w:rFonts w:ascii="Times New Roman" w:hAnsi="Times New Roman" w:eastAsia="Times New Roman" w:cs="Times New Roman"/>
                <w:sz w:val="22"/>
                <w:szCs w:val="22"/>
              </w:rPr>
              <w:t>48.1M</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BEA9A52">
            <w:pPr>
              <w:jc w:val="center"/>
            </w:pPr>
            <w:r>
              <w:rPr>
                <w:rFonts w:ascii="Times New Roman" w:hAnsi="Times New Roman" w:eastAsia="Times New Roman" w:cs="Times New Roman"/>
                <w:sz w:val="22"/>
                <w:szCs w:val="22"/>
              </w:rPr>
              <w:t>114.9M</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F0158CE">
            <w:pPr>
              <w:jc w:val="center"/>
            </w:pPr>
            <w:r>
              <w:rPr>
                <w:rFonts w:ascii="Times New Roman" w:hAnsi="Times New Roman" w:eastAsia="Times New Roman" w:cs="Times New Roman"/>
                <w:sz w:val="22"/>
                <w:szCs w:val="22"/>
              </w:rPr>
              <w:t>+66.8M</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3ADF2AC">
            <w:pPr>
              <w:jc w:val="center"/>
            </w:pPr>
            <w:r>
              <w:rPr>
                <w:rFonts w:ascii="Times New Roman" w:hAnsi="Times New Roman" w:eastAsia="Times New Roman" w:cs="Times New Roman"/>
                <w:sz w:val="22"/>
                <w:szCs w:val="22"/>
              </w:rPr>
              <w:t>+139%</w:t>
            </w:r>
          </w:p>
        </w:tc>
      </w:tr>
      <w:tr w14:paraId="4E4EF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AFA6B0F">
            <w:pPr>
              <w:jc w:val="center"/>
            </w:pPr>
            <w:r>
              <w:rPr>
                <w:rFonts w:ascii="Times New Roman" w:hAnsi="Times New Roman" w:eastAsia="Times New Roman" w:cs="Times New Roman"/>
                <w:sz w:val="22"/>
                <w:szCs w:val="22"/>
              </w:rPr>
              <w:t>DR Congo</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F08C1C8">
            <w:pPr>
              <w:jc w:val="center"/>
            </w:pPr>
            <w:r>
              <w:rPr>
                <w:rFonts w:ascii="Times New Roman" w:hAnsi="Times New Roman" w:eastAsia="Times New Roman" w:cs="Times New Roman"/>
                <w:sz w:val="22"/>
                <w:szCs w:val="22"/>
              </w:rPr>
              <w:t>35.5M</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F995328">
            <w:pPr>
              <w:jc w:val="center"/>
            </w:pPr>
            <w:r>
              <w:rPr>
                <w:rFonts w:ascii="Times New Roman" w:hAnsi="Times New Roman" w:eastAsia="Times New Roman" w:cs="Times New Roman"/>
                <w:sz w:val="22"/>
                <w:szCs w:val="22"/>
              </w:rPr>
              <w:t>89.6M</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C3B837E">
            <w:pPr>
              <w:jc w:val="center"/>
            </w:pPr>
            <w:r>
              <w:rPr>
                <w:rFonts w:ascii="Times New Roman" w:hAnsi="Times New Roman" w:eastAsia="Times New Roman" w:cs="Times New Roman"/>
                <w:sz w:val="22"/>
                <w:szCs w:val="22"/>
              </w:rPr>
              <w:t>+54.1M</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9DC4BC3">
            <w:pPr>
              <w:jc w:val="center"/>
            </w:pPr>
            <w:r>
              <w:rPr>
                <w:rFonts w:ascii="Times New Roman" w:hAnsi="Times New Roman" w:eastAsia="Times New Roman" w:cs="Times New Roman"/>
                <w:sz w:val="22"/>
                <w:szCs w:val="22"/>
              </w:rPr>
              <w:t>+152%</w:t>
            </w:r>
          </w:p>
        </w:tc>
      </w:tr>
      <w:tr w14:paraId="75E89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0128A3AD">
            <w:pPr>
              <w:jc w:val="center"/>
            </w:pPr>
            <w:r>
              <w:rPr>
                <w:rFonts w:ascii="Times New Roman" w:hAnsi="Times New Roman" w:eastAsia="Times New Roman" w:cs="Times New Roman"/>
                <w:sz w:val="22"/>
                <w:szCs w:val="22"/>
              </w:rPr>
              <w:t>Pakistan</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6DF4376D">
            <w:pPr>
              <w:jc w:val="center"/>
            </w:pPr>
            <w:r>
              <w:rPr>
                <w:rFonts w:ascii="Times New Roman" w:hAnsi="Times New Roman" w:eastAsia="Times New Roman" w:cs="Times New Roman"/>
                <w:sz w:val="22"/>
                <w:szCs w:val="22"/>
              </w:rPr>
              <w:t>108.5M</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66EC4AAA">
            <w:pPr>
              <w:jc w:val="center"/>
            </w:pPr>
            <w:r>
              <w:rPr>
                <w:rFonts w:ascii="Times New Roman" w:hAnsi="Times New Roman" w:eastAsia="Times New Roman" w:cs="Times New Roman"/>
                <w:sz w:val="22"/>
                <w:szCs w:val="22"/>
              </w:rPr>
              <w:t>220.9M</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BAD343F">
            <w:pPr>
              <w:jc w:val="center"/>
            </w:pPr>
            <w:r>
              <w:rPr>
                <w:rFonts w:ascii="Times New Roman" w:hAnsi="Times New Roman" w:eastAsia="Times New Roman" w:cs="Times New Roman"/>
                <w:sz w:val="22"/>
                <w:szCs w:val="22"/>
              </w:rPr>
              <w:t>+112.4M</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368A26A">
            <w:pPr>
              <w:jc w:val="center"/>
            </w:pPr>
            <w:r>
              <w:rPr>
                <w:rFonts w:ascii="Times New Roman" w:hAnsi="Times New Roman" w:eastAsia="Times New Roman" w:cs="Times New Roman"/>
                <w:sz w:val="22"/>
                <w:szCs w:val="22"/>
              </w:rPr>
              <w:t>+104%</w:t>
            </w:r>
          </w:p>
        </w:tc>
      </w:tr>
      <w:tr w14:paraId="4B30D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5AF6C80">
            <w:pPr>
              <w:jc w:val="center"/>
            </w:pPr>
            <w:r>
              <w:rPr>
                <w:rFonts w:ascii="Times New Roman" w:hAnsi="Times New Roman" w:eastAsia="Times New Roman" w:cs="Times New Roman"/>
                <w:sz w:val="22"/>
                <w:szCs w:val="22"/>
              </w:rPr>
              <w:t>India</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0428997">
            <w:pPr>
              <w:jc w:val="center"/>
            </w:pPr>
            <w:r>
              <w:rPr>
                <w:rFonts w:ascii="Times New Roman" w:hAnsi="Times New Roman" w:eastAsia="Times New Roman" w:cs="Times New Roman"/>
                <w:sz w:val="22"/>
                <w:szCs w:val="22"/>
              </w:rPr>
              <w:t>873.3M</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2A59EEC">
            <w:pPr>
              <w:jc w:val="center"/>
            </w:pPr>
            <w:r>
              <w:rPr>
                <w:rFonts w:ascii="Times New Roman" w:hAnsi="Times New Roman" w:eastAsia="Times New Roman" w:cs="Times New Roman"/>
                <w:sz w:val="22"/>
                <w:szCs w:val="22"/>
              </w:rPr>
              <w:t>1,380.0M</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6272A90">
            <w:pPr>
              <w:jc w:val="center"/>
            </w:pPr>
            <w:r>
              <w:rPr>
                <w:rFonts w:ascii="Times New Roman" w:hAnsi="Times New Roman" w:eastAsia="Times New Roman" w:cs="Times New Roman"/>
                <w:sz w:val="22"/>
                <w:szCs w:val="22"/>
              </w:rPr>
              <w:t>+506.7M</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87608AC">
            <w:pPr>
              <w:jc w:val="center"/>
            </w:pPr>
            <w:r>
              <w:rPr>
                <w:rFonts w:ascii="Times New Roman" w:hAnsi="Times New Roman" w:eastAsia="Times New Roman" w:cs="Times New Roman"/>
                <w:sz w:val="22"/>
                <w:szCs w:val="22"/>
              </w:rPr>
              <w:t>+58%</w:t>
            </w:r>
          </w:p>
        </w:tc>
      </w:tr>
      <w:tr w14:paraId="4086F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6538005">
            <w:pPr>
              <w:jc w:val="center"/>
            </w:pPr>
            <w:r>
              <w:rPr>
                <w:rFonts w:ascii="Times New Roman" w:hAnsi="Times New Roman" w:eastAsia="Times New Roman" w:cs="Times New Roman"/>
                <w:sz w:val="22"/>
                <w:szCs w:val="22"/>
              </w:rPr>
              <w:t>Indonesia</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2DF201F">
            <w:pPr>
              <w:jc w:val="center"/>
            </w:pPr>
            <w:r>
              <w:rPr>
                <w:rFonts w:ascii="Times New Roman" w:hAnsi="Times New Roman" w:eastAsia="Times New Roman" w:cs="Times New Roman"/>
                <w:sz w:val="22"/>
                <w:szCs w:val="22"/>
              </w:rPr>
              <w:t>181.4M</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E2A95F0">
            <w:pPr>
              <w:jc w:val="center"/>
            </w:pPr>
            <w:r>
              <w:rPr>
                <w:rFonts w:ascii="Times New Roman" w:hAnsi="Times New Roman" w:eastAsia="Times New Roman" w:cs="Times New Roman"/>
                <w:sz w:val="22"/>
                <w:szCs w:val="22"/>
              </w:rPr>
              <w:t>273.5M</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952C2D8">
            <w:pPr>
              <w:jc w:val="center"/>
            </w:pPr>
            <w:r>
              <w:rPr>
                <w:rFonts w:ascii="Times New Roman" w:hAnsi="Times New Roman" w:eastAsia="Times New Roman" w:cs="Times New Roman"/>
                <w:sz w:val="22"/>
                <w:szCs w:val="22"/>
              </w:rPr>
              <w:t>+92.1M</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0DFFEC8B">
            <w:pPr>
              <w:jc w:val="center"/>
            </w:pPr>
            <w:r>
              <w:rPr>
                <w:rFonts w:ascii="Times New Roman" w:hAnsi="Times New Roman" w:eastAsia="Times New Roman" w:cs="Times New Roman"/>
                <w:sz w:val="22"/>
                <w:szCs w:val="22"/>
              </w:rPr>
              <w:t>+51%</w:t>
            </w:r>
          </w:p>
        </w:tc>
      </w:tr>
      <w:tr w14:paraId="520C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88C9A51">
            <w:pPr>
              <w:jc w:val="center"/>
            </w:pPr>
            <w:r>
              <w:rPr>
                <w:rFonts w:ascii="Times New Roman" w:hAnsi="Times New Roman" w:eastAsia="Times New Roman" w:cs="Times New Roman"/>
                <w:sz w:val="22"/>
                <w:szCs w:val="22"/>
              </w:rPr>
              <w:t>Brazil</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D3A5C95">
            <w:pPr>
              <w:jc w:val="center"/>
            </w:pPr>
            <w:r>
              <w:rPr>
                <w:rFonts w:ascii="Times New Roman" w:hAnsi="Times New Roman" w:eastAsia="Times New Roman" w:cs="Times New Roman"/>
                <w:sz w:val="22"/>
                <w:szCs w:val="22"/>
              </w:rPr>
              <w:t>149.6M</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2BD721B">
            <w:pPr>
              <w:jc w:val="center"/>
            </w:pPr>
            <w:r>
              <w:rPr>
                <w:rFonts w:ascii="Times New Roman" w:hAnsi="Times New Roman" w:eastAsia="Times New Roman" w:cs="Times New Roman"/>
                <w:sz w:val="22"/>
                <w:szCs w:val="22"/>
              </w:rPr>
              <w:t>212.6M</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3F7FB72">
            <w:pPr>
              <w:jc w:val="center"/>
            </w:pPr>
            <w:r>
              <w:rPr>
                <w:rFonts w:ascii="Times New Roman" w:hAnsi="Times New Roman" w:eastAsia="Times New Roman" w:cs="Times New Roman"/>
                <w:sz w:val="22"/>
                <w:szCs w:val="22"/>
              </w:rPr>
              <w:t>+63.0M</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FDE6ED7">
            <w:pPr>
              <w:jc w:val="center"/>
            </w:pPr>
            <w:r>
              <w:rPr>
                <w:rFonts w:ascii="Times New Roman" w:hAnsi="Times New Roman" w:eastAsia="Times New Roman" w:cs="Times New Roman"/>
                <w:sz w:val="22"/>
                <w:szCs w:val="22"/>
              </w:rPr>
              <w:t>+42%</w:t>
            </w:r>
          </w:p>
        </w:tc>
      </w:tr>
      <w:tr w14:paraId="2FD78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600837F5">
            <w:pPr>
              <w:jc w:val="center"/>
            </w:pPr>
            <w:r>
              <w:rPr>
                <w:rFonts w:ascii="Times New Roman" w:hAnsi="Times New Roman" w:eastAsia="Times New Roman" w:cs="Times New Roman"/>
                <w:sz w:val="22"/>
                <w:szCs w:val="22"/>
              </w:rPr>
              <w:t>China</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6367F7A">
            <w:pPr>
              <w:jc w:val="center"/>
            </w:pPr>
            <w:r>
              <w:rPr>
                <w:rFonts w:ascii="Times New Roman" w:hAnsi="Times New Roman" w:eastAsia="Times New Roman" w:cs="Times New Roman"/>
                <w:sz w:val="22"/>
                <w:szCs w:val="22"/>
              </w:rPr>
              <w:t>1,143.3M</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31F3F7C">
            <w:pPr>
              <w:jc w:val="center"/>
            </w:pPr>
            <w:r>
              <w:rPr>
                <w:rFonts w:ascii="Times New Roman" w:hAnsi="Times New Roman" w:eastAsia="Times New Roman" w:cs="Times New Roman"/>
                <w:sz w:val="22"/>
                <w:szCs w:val="22"/>
              </w:rPr>
              <w:t>1,411.1M</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C4CA6F4">
            <w:pPr>
              <w:jc w:val="center"/>
            </w:pPr>
            <w:r>
              <w:rPr>
                <w:rFonts w:ascii="Times New Roman" w:hAnsi="Times New Roman" w:eastAsia="Times New Roman" w:cs="Times New Roman"/>
                <w:sz w:val="22"/>
                <w:szCs w:val="22"/>
              </w:rPr>
              <w:t>+267.8M</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BC2AFF7">
            <w:pPr>
              <w:jc w:val="center"/>
            </w:pPr>
            <w:r>
              <w:rPr>
                <w:rFonts w:ascii="Times New Roman" w:hAnsi="Times New Roman" w:eastAsia="Times New Roman" w:cs="Times New Roman"/>
                <w:sz w:val="22"/>
                <w:szCs w:val="22"/>
              </w:rPr>
              <w:t>+23%</w:t>
            </w:r>
          </w:p>
        </w:tc>
      </w:tr>
    </w:tbl>
    <w:p w14:paraId="2D6D7573">
      <w:pPr>
        <w:pStyle w:val="4"/>
        <w:spacing w:before="240" w:after="120"/>
      </w:pPr>
      <w:r>
        <w:rPr>
          <w:rFonts w:ascii="Times New Roman" w:hAnsi="Times New Roman" w:eastAsia="Times New Roman" w:cs="Times New Roman"/>
          <w:b/>
          <w:bCs/>
          <w:sz w:val="26"/>
          <w:szCs w:val="26"/>
        </w:rPr>
        <w:t>4.2.5 Visualization Explanation</w:t>
      </w:r>
    </w:p>
    <w:p w14:paraId="42814440">
      <w:pPr>
        <w:spacing w:before="0" w:after="160" w:line="360" w:lineRule="auto"/>
        <w:jc w:val="both"/>
      </w:pPr>
      <w:r>
        <w:rPr>
          <w:rFonts w:ascii="Times New Roman" w:hAnsi="Times New Roman" w:eastAsia="Times New Roman" w:cs="Times New Roman"/>
          <w:b w:val="0"/>
          <w:bCs w:val="0"/>
          <w:i w:val="0"/>
          <w:iCs w:val="0"/>
          <w:sz w:val="24"/>
          <w:szCs w:val="24"/>
        </w:rPr>
        <w:t>The primary visualization for the population objective is the multi-series line chart titled "Population Growth" on the dashboard. Unlike the GDP chart, where the scale divergence between countries is substantial, the population chart shows a more visually balanced spread of country trajectories, as all countries in the dataset are within the same order of magnitude in terms of population (ranging from tens of millions to over one billion). The chart clearly displays the converging trajectories of India and China, with India's growth rate visibly exceeding China's from the 1990s onward, and the two lines showing a tendency toward convergence by the end of the study period.</w:t>
      </w:r>
    </w:p>
    <w:p w14:paraId="1079948C">
      <w:pPr>
        <w:spacing w:before="0" w:after="160" w:line="360" w:lineRule="auto"/>
        <w:jc w:val="both"/>
      </w:pPr>
      <w:r>
        <w:rPr>
          <w:rFonts w:ascii="Times New Roman" w:hAnsi="Times New Roman" w:eastAsia="Times New Roman" w:cs="Times New Roman"/>
          <w:b w:val="0"/>
          <w:bCs w:val="0"/>
          <w:i w:val="0"/>
          <w:iCs w:val="0"/>
          <w:sz w:val="24"/>
          <w:szCs w:val="24"/>
        </w:rPr>
        <w:t>The geographic map visual on the dashboard also contributes to the population analysis by enabling spatial visualization of where the world's population is concentrated and where growth is most rapid. Countries in South Asia and Sub-Saharan Africa are visually prominent on the map when population data is selected, reflecting their dominant share of global population growth.</w:t>
      </w:r>
    </w:p>
    <w:p w14:paraId="27492228"/>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F0A7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8" w:space="0"/>
              <w:left w:val="single" w:color="2E75B6" w:sz="8" w:space="0"/>
              <w:bottom w:val="single" w:color="2E75B6" w:sz="8" w:space="0"/>
              <w:right w:val="single" w:color="2E75B6" w:sz="8" w:space="0"/>
            </w:tcBorders>
            <w:shd w:val="clear" w:color="auto" w:fill="EBF3FB"/>
            <w:tcMar>
              <w:top w:w="400" w:type="dxa"/>
              <w:left w:w="400" w:type="dxa"/>
              <w:bottom w:w="400" w:type="dxa"/>
              <w:right w:w="400" w:type="dxa"/>
            </w:tcMar>
            <w:vAlign w:val="center"/>
          </w:tcPr>
          <w:p w14:paraId="2A03CE94">
            <w:pPr>
              <w:jc w:val="center"/>
            </w:pPr>
            <w:r>
              <w:drawing>
                <wp:inline distT="0" distB="0" distL="114300" distR="114300">
                  <wp:extent cx="4518660" cy="2047875"/>
                  <wp:effectExtent l="0" t="0" r="7620" b="952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9"/>
                          <a:stretch>
                            <a:fillRect/>
                          </a:stretch>
                        </pic:blipFill>
                        <pic:spPr>
                          <a:xfrm>
                            <a:off x="0" y="0"/>
                            <a:ext cx="4518660" cy="2047875"/>
                          </a:xfrm>
                          <a:prstGeom prst="rect">
                            <a:avLst/>
                          </a:prstGeom>
                          <a:noFill/>
                          <a:ln>
                            <a:noFill/>
                          </a:ln>
                        </pic:spPr>
                      </pic:pic>
                    </a:graphicData>
                  </a:graphic>
                </wp:inline>
              </w:drawing>
            </w:r>
          </w:p>
        </w:tc>
      </w:tr>
    </w:tbl>
    <w:p w14:paraId="2B953D61">
      <w:pPr>
        <w:spacing w:before="80" w:after="200"/>
        <w:jc w:val="center"/>
      </w:pPr>
      <w:r>
        <w:rPr>
          <w:rFonts w:ascii="Times New Roman" w:hAnsi="Times New Roman" w:eastAsia="Times New Roman" w:cs="Times New Roman"/>
          <w:b/>
          <w:bCs/>
          <w:i/>
          <w:iCs/>
          <w:sz w:val="22"/>
          <w:szCs w:val="22"/>
        </w:rPr>
        <w:t>Figure 5: Multi-Series Line Chart Illustrating Population Growth Trajectories for Selected Countries</w:t>
      </w:r>
    </w:p>
    <w:p w14:paraId="5ED8EF50"/>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865A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8" w:space="0"/>
              <w:left w:val="single" w:color="2E75B6" w:sz="8" w:space="0"/>
              <w:bottom w:val="single" w:color="2E75B6" w:sz="8" w:space="0"/>
              <w:right w:val="single" w:color="2E75B6" w:sz="8" w:space="0"/>
            </w:tcBorders>
            <w:shd w:val="clear" w:color="auto" w:fill="EBF3FB"/>
            <w:tcMar>
              <w:top w:w="400" w:type="dxa"/>
              <w:left w:w="400" w:type="dxa"/>
              <w:bottom w:w="400" w:type="dxa"/>
              <w:right w:w="400" w:type="dxa"/>
            </w:tcMar>
            <w:vAlign w:val="center"/>
          </w:tcPr>
          <w:p w14:paraId="5E1AF111">
            <w:pPr>
              <w:jc w:val="center"/>
            </w:pPr>
            <w:r>
              <w:drawing>
                <wp:inline distT="0" distB="0" distL="114300" distR="114300">
                  <wp:extent cx="4848225" cy="1790065"/>
                  <wp:effectExtent l="0" t="0" r="13335" b="825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0"/>
                          <a:stretch>
                            <a:fillRect/>
                          </a:stretch>
                        </pic:blipFill>
                        <pic:spPr>
                          <a:xfrm>
                            <a:off x="0" y="0"/>
                            <a:ext cx="4848225" cy="1790065"/>
                          </a:xfrm>
                          <a:prstGeom prst="rect">
                            <a:avLst/>
                          </a:prstGeom>
                          <a:noFill/>
                          <a:ln>
                            <a:noFill/>
                          </a:ln>
                        </pic:spPr>
                      </pic:pic>
                    </a:graphicData>
                  </a:graphic>
                </wp:inline>
              </w:drawing>
            </w:r>
          </w:p>
        </w:tc>
      </w:tr>
    </w:tbl>
    <w:p w14:paraId="3EF4BC30">
      <w:pPr>
        <w:spacing w:before="80" w:after="200"/>
        <w:jc w:val="center"/>
      </w:pPr>
      <w:r>
        <w:rPr>
          <w:rFonts w:ascii="Times New Roman" w:hAnsi="Times New Roman" w:eastAsia="Times New Roman" w:cs="Times New Roman"/>
          <w:b/>
          <w:bCs/>
          <w:i/>
          <w:iCs/>
          <w:sz w:val="22"/>
          <w:szCs w:val="22"/>
        </w:rPr>
        <w:t>Figure 6: MapBySquillion Visual Displaying Country-Level Geographic Distribution of Indicators</w:t>
      </w:r>
    </w:p>
    <w:p w14:paraId="4BD3624B">
      <w:pPr>
        <w:pStyle w:val="3"/>
        <w:spacing w:before="280" w:after="160"/>
      </w:pPr>
      <w:r>
        <w:rPr>
          <w:rFonts w:ascii="Times New Roman" w:hAnsi="Times New Roman" w:eastAsia="Times New Roman" w:cs="Times New Roman"/>
          <w:b/>
          <w:bCs/>
          <w:sz w:val="28"/>
          <w:szCs w:val="28"/>
        </w:rPr>
        <w:t>4.3 Objective 3 – Energy Use and CO₂ Emissions Analysis</w:t>
      </w:r>
    </w:p>
    <w:p w14:paraId="5D6F4600">
      <w:pPr>
        <w:pStyle w:val="4"/>
        <w:spacing w:before="240" w:after="120"/>
      </w:pPr>
      <w:r>
        <w:rPr>
          <w:rFonts w:ascii="Times New Roman" w:hAnsi="Times New Roman" w:eastAsia="Times New Roman" w:cs="Times New Roman"/>
          <w:b/>
          <w:bCs/>
          <w:sz w:val="26"/>
          <w:szCs w:val="26"/>
        </w:rPr>
        <w:t>4.3.1 General Description</w:t>
      </w:r>
    </w:p>
    <w:p w14:paraId="3C0EB597">
      <w:pPr>
        <w:spacing w:before="0" w:after="160" w:line="360" w:lineRule="auto"/>
        <w:jc w:val="both"/>
      </w:pPr>
      <w:r>
        <w:rPr>
          <w:rFonts w:ascii="Times New Roman" w:hAnsi="Times New Roman" w:eastAsia="Times New Roman" w:cs="Times New Roman"/>
          <w:b w:val="0"/>
          <w:bCs w:val="0"/>
          <w:i w:val="0"/>
          <w:iCs w:val="0"/>
          <w:sz w:val="24"/>
          <w:szCs w:val="24"/>
        </w:rPr>
        <w:t>The analysis of energy use and carbon dioxide emissions occupies a central place in this project, given the overriding importance of climate change as the defining environmental challenge of the twenty-first century. The relationship between energy use and CO₂ emissions is fundamentally mediated by the composition of a country's energy mix: economies that rely heavily on fossil fuels (coal, oil, and natural gas) for electricity generation and industrial processes will tend to have high emissions per unit of energy consumed, while those that have developed significant renewable energy or nuclear capacity will exhibit lower carbon intensity in their energy systems.</w:t>
      </w:r>
    </w:p>
    <w:p w14:paraId="0177048D">
      <w:pPr>
        <w:spacing w:before="0" w:after="160" w:line="360" w:lineRule="auto"/>
        <w:jc w:val="both"/>
      </w:pPr>
      <w:r>
        <w:rPr>
          <w:rFonts w:ascii="Times New Roman" w:hAnsi="Times New Roman" w:eastAsia="Times New Roman" w:cs="Times New Roman"/>
          <w:b w:val="0"/>
          <w:bCs w:val="0"/>
          <w:i w:val="0"/>
          <w:iCs w:val="0"/>
          <w:sz w:val="24"/>
          <w:szCs w:val="24"/>
        </w:rPr>
        <w:t>This objective investigates both the absolute levels and the temporal trends in energy use per capita and CO₂ emissions per capita across the study countries, as well as the relationship between these two variables and the level of economic development (as measured by GDP per capita). A key analytical question addressed in this section is whether higher-income countries tend to emit more CO₂ per capita than lower-income countries, and whether there is evidence of any decoupling of emissions from economic growth over the study period.</w:t>
      </w:r>
    </w:p>
    <w:p w14:paraId="64AF4851">
      <w:pPr>
        <w:pStyle w:val="4"/>
        <w:spacing w:before="240" w:after="120"/>
      </w:pPr>
      <w:r>
        <w:rPr>
          <w:rFonts w:ascii="Times New Roman" w:hAnsi="Times New Roman" w:eastAsia="Times New Roman" w:cs="Times New Roman"/>
          <w:b/>
          <w:bCs/>
          <w:sz w:val="26"/>
          <w:szCs w:val="26"/>
        </w:rPr>
        <w:t>4.3.2 Specific Requirements</w:t>
      </w:r>
    </w:p>
    <w:p w14:paraId="5608E4AF">
      <w:pPr>
        <w:pStyle w:val="16"/>
        <w:numPr>
          <w:ilvl w:val="0"/>
          <w:numId w:val="1"/>
        </w:numPr>
        <w:spacing w:after="120" w:line="360" w:lineRule="auto"/>
      </w:pPr>
      <w:r>
        <w:rPr>
          <w:rFonts w:ascii="Times New Roman" w:hAnsi="Times New Roman" w:eastAsia="Times New Roman" w:cs="Times New Roman"/>
          <w:sz w:val="24"/>
          <w:szCs w:val="24"/>
        </w:rPr>
        <w:t>Visualization of the combined Energy Use and CO₂ emissions data through a donut chart displaying the proportional share of each country in total energy use and CO₂ emissions for the selected time period.</w:t>
      </w:r>
    </w:p>
    <w:p w14:paraId="16C7F344">
      <w:pPr>
        <w:pStyle w:val="16"/>
        <w:numPr>
          <w:ilvl w:val="0"/>
          <w:numId w:val="1"/>
        </w:numPr>
        <w:spacing w:after="120" w:line="360" w:lineRule="auto"/>
      </w:pPr>
      <w:r>
        <w:rPr>
          <w:rFonts w:ascii="Times New Roman" w:hAnsi="Times New Roman" w:eastAsia="Times New Roman" w:cs="Times New Roman"/>
          <w:sz w:val="24"/>
          <w:szCs w:val="24"/>
        </w:rPr>
        <w:t>Construction of a multi-indicator line chart displaying the temporal trends of both Energy Use and CO₂ as line series across years, enabling direct visual comparison of their trajectories.</w:t>
      </w:r>
    </w:p>
    <w:p w14:paraId="1FA3080E">
      <w:pPr>
        <w:pStyle w:val="16"/>
        <w:numPr>
          <w:ilvl w:val="0"/>
          <w:numId w:val="1"/>
        </w:numPr>
        <w:spacing w:after="120" w:line="360" w:lineRule="auto"/>
      </w:pPr>
      <w:r>
        <w:rPr>
          <w:rFonts w:ascii="Times New Roman" w:hAnsi="Times New Roman" w:eastAsia="Times New Roman" w:cs="Times New Roman"/>
          <w:sz w:val="24"/>
          <w:szCs w:val="24"/>
        </w:rPr>
        <w:t>Display of the current total Energy Usage and CO₂ Emission values as KPI cards on the dashboard, updating dynamically in response to slicer adjustments.</w:t>
      </w:r>
    </w:p>
    <w:p w14:paraId="0A6C6EE6">
      <w:pPr>
        <w:pStyle w:val="16"/>
        <w:numPr>
          <w:ilvl w:val="0"/>
          <w:numId w:val="1"/>
        </w:numPr>
        <w:spacing w:after="120" w:line="360" w:lineRule="auto"/>
      </w:pPr>
      <w:r>
        <w:rPr>
          <w:rFonts w:ascii="Times New Roman" w:hAnsi="Times New Roman" w:eastAsia="Times New Roman" w:cs="Times New Roman"/>
          <w:sz w:val="24"/>
          <w:szCs w:val="24"/>
        </w:rPr>
        <w:t>Calculation of the carbon intensity metric (CO₂ per unit of GDP) to assess whether emissions are declining relative to economic output over time.</w:t>
      </w:r>
    </w:p>
    <w:p w14:paraId="74ECD902">
      <w:pPr>
        <w:pStyle w:val="16"/>
        <w:numPr>
          <w:ilvl w:val="0"/>
          <w:numId w:val="1"/>
        </w:numPr>
        <w:spacing w:after="120" w:line="360" w:lineRule="auto"/>
      </w:pPr>
      <w:r>
        <w:rPr>
          <w:rFonts w:ascii="Times New Roman" w:hAnsi="Times New Roman" w:eastAsia="Times New Roman" w:cs="Times New Roman"/>
          <w:sz w:val="24"/>
          <w:szCs w:val="24"/>
        </w:rPr>
        <w:t>Identification of the countries with the highest per capita energy consumption and emissions, and assessment of whether these differ from the countries with the highest absolute emissions.</w:t>
      </w:r>
    </w:p>
    <w:p w14:paraId="6C0A38A8">
      <w:pPr>
        <w:pStyle w:val="4"/>
        <w:spacing w:before="240" w:after="120"/>
      </w:pPr>
      <w:r>
        <w:rPr>
          <w:rFonts w:ascii="Times New Roman" w:hAnsi="Times New Roman" w:eastAsia="Times New Roman" w:cs="Times New Roman"/>
          <w:b/>
          <w:bCs/>
          <w:sz w:val="26"/>
          <w:szCs w:val="26"/>
        </w:rPr>
        <w:t>4.3.3 Step-by-Step Analysis</w:t>
      </w:r>
    </w:p>
    <w:p w14:paraId="22B93667">
      <w:pPr>
        <w:pStyle w:val="16"/>
        <w:numPr>
          <w:ilvl w:val="0"/>
          <w:numId w:val="2"/>
        </w:numPr>
        <w:spacing w:after="120" w:line="360" w:lineRule="auto"/>
      </w:pPr>
      <w:r>
        <w:rPr>
          <w:rFonts w:ascii="Times New Roman" w:hAnsi="Times New Roman" w:eastAsia="Times New Roman" w:cs="Times New Roman"/>
          <w:sz w:val="24"/>
          <w:szCs w:val="24"/>
        </w:rPr>
        <w:t>Step 1 – Donut Chart Construction: A donut chart was configured using Country as the Category dimension and the Energy Use and CO₂ Use measures as dual Y-axis values. This dual-measure donut configuration enables simultaneous visualization of the proportional distribution of two related environmental variables across countries.</w:t>
      </w:r>
    </w:p>
    <w:p w14:paraId="7F3E0D08">
      <w:pPr>
        <w:pStyle w:val="16"/>
        <w:numPr>
          <w:ilvl w:val="0"/>
          <w:numId w:val="2"/>
        </w:numPr>
        <w:spacing w:after="120" w:line="360" w:lineRule="auto"/>
      </w:pPr>
      <w:r>
        <w:rPr>
          <w:rFonts w:ascii="Times New Roman" w:hAnsi="Times New Roman" w:eastAsia="Times New Roman" w:cs="Times New Roman"/>
          <w:sz w:val="24"/>
          <w:szCs w:val="24"/>
        </w:rPr>
        <w:t>Step 2 – Multi-Indicator Line Chart: A line chart was constructed using Year as the primary Category dimension and a composite of Indicator values (including both Energy and CO₂ series) to display how both variables have evolved over time within and across countries.</w:t>
      </w:r>
    </w:p>
    <w:p w14:paraId="6EC0F888">
      <w:pPr>
        <w:pStyle w:val="16"/>
        <w:numPr>
          <w:ilvl w:val="0"/>
          <w:numId w:val="2"/>
        </w:numPr>
        <w:spacing w:after="120" w:line="360" w:lineRule="auto"/>
      </w:pPr>
      <w:r>
        <w:rPr>
          <w:rFonts w:ascii="Times New Roman" w:hAnsi="Times New Roman" w:eastAsia="Times New Roman" w:cs="Times New Roman"/>
          <w:sz w:val="24"/>
          <w:szCs w:val="24"/>
        </w:rPr>
        <w:t>Step 3 – KPI Card Analysis: The "Energy Usage" and "Carbon Emission" KPI cards on the dashboard were configured to display the sum or average of the respective metrics for the currently selected country and year range.</w:t>
      </w:r>
    </w:p>
    <w:p w14:paraId="0A1A73C0">
      <w:pPr>
        <w:pStyle w:val="16"/>
        <w:numPr>
          <w:ilvl w:val="0"/>
          <w:numId w:val="2"/>
        </w:numPr>
        <w:spacing w:after="120" w:line="360" w:lineRule="auto"/>
      </w:pPr>
      <w:r>
        <w:rPr>
          <w:rFonts w:ascii="Times New Roman" w:hAnsi="Times New Roman" w:eastAsia="Times New Roman" w:cs="Times New Roman"/>
          <w:sz w:val="24"/>
          <w:szCs w:val="24"/>
        </w:rPr>
        <w:t>Step 4 – Carbon Intensity Calculation: Using the DAX measure CO2_per_GDP, the carbon intensity of economic output was computed for each country-year observation, enabling an assessment of whether GDP growth is becoming more or less carbon-intensive over time.</w:t>
      </w:r>
    </w:p>
    <w:p w14:paraId="2FCFFB74">
      <w:pPr>
        <w:pStyle w:val="16"/>
        <w:numPr>
          <w:ilvl w:val="0"/>
          <w:numId w:val="2"/>
        </w:numPr>
        <w:spacing w:after="120" w:line="360" w:lineRule="auto"/>
      </w:pPr>
      <w:r>
        <w:rPr>
          <w:rFonts w:ascii="Times New Roman" w:hAnsi="Times New Roman" w:eastAsia="Times New Roman" w:cs="Times New Roman"/>
          <w:sz w:val="24"/>
          <w:szCs w:val="24"/>
        </w:rPr>
        <w:t>Step 5 – Slicer Interaction Testing: Multiple slicer combinations were tested to verify the correct dynamic behavior of all visuals in response to country, year, and indicator filter changes.</w:t>
      </w:r>
    </w:p>
    <w:p w14:paraId="738EAF5D">
      <w:pPr>
        <w:pStyle w:val="4"/>
        <w:spacing w:before="240" w:after="120"/>
      </w:pPr>
      <w:r>
        <w:rPr>
          <w:rFonts w:ascii="Times New Roman" w:hAnsi="Times New Roman" w:eastAsia="Times New Roman" w:cs="Times New Roman"/>
          <w:b/>
          <w:bCs/>
          <w:sz w:val="26"/>
          <w:szCs w:val="26"/>
        </w:rPr>
        <w:t>4.3.4 Interpretation of Results</w:t>
      </w:r>
    </w:p>
    <w:p w14:paraId="33D0F716">
      <w:pPr>
        <w:spacing w:before="0" w:after="160" w:line="360" w:lineRule="auto"/>
        <w:jc w:val="both"/>
      </w:pPr>
      <w:r>
        <w:rPr>
          <w:rFonts w:ascii="Times New Roman" w:hAnsi="Times New Roman" w:eastAsia="Times New Roman" w:cs="Times New Roman"/>
          <w:b w:val="0"/>
          <w:bCs w:val="0"/>
          <w:i w:val="0"/>
          <w:iCs w:val="0"/>
          <w:sz w:val="24"/>
          <w:szCs w:val="24"/>
        </w:rPr>
        <w:t>The energy use and CO₂ emissions analysis produces results that are both analytically rich and practically significant. On the dimension of per capita energy consumption, the data clearly demonstrates that high-income, highly industrialized nations consume dramatically more energy per person than developing nations. The United States exhibits the highest per capita energy consumption among the major economies in the dataset, averaging over 7,500 kg of oil equivalent per capita across the study period. Canada, Australia, and certain Gulf states (Qatar, Kuwait) exhibit similarly high per capita energy consumption, reflecting their energy-intensive lifestyles, cold or hot climates requiring substantial heating and cooling energy, and in the case of Gulf states, heavily subsidized petroleum products that suppress the price signal for energy conservation.</w:t>
      </w:r>
    </w:p>
    <w:p w14:paraId="3C2A7956">
      <w:pPr>
        <w:spacing w:before="0" w:after="160" w:line="360" w:lineRule="auto"/>
        <w:jc w:val="both"/>
      </w:pPr>
      <w:r>
        <w:rPr>
          <w:rFonts w:ascii="Times New Roman" w:hAnsi="Times New Roman" w:eastAsia="Times New Roman" w:cs="Times New Roman"/>
          <w:b w:val="0"/>
          <w:bCs w:val="0"/>
          <w:i w:val="0"/>
          <w:iCs w:val="0"/>
          <w:sz w:val="24"/>
          <w:szCs w:val="24"/>
        </w:rPr>
        <w:t>China presents one of the most analytically interesting cases for energy and emissions analysis. Despite having a much lower per capita income than the United States, China's per capita energy consumption increased dramatically over the study period, rising from approximately 800 kg of oil equivalent per capita in 1990 to over 2,400 kg per capita by 2020. This reflects the extraordinary pace of China's industrialization, the construction of an enormous manufacturing export sector, and the rapid expansion of private motor vehicle ownership among China's growing middle class. China's CO₂ emissions per capita followed a similarly steep upward trajectory, from approximately 2.2 metric tonnes per capita in 1990 to approximately 7.1 metric tonnes per capita in 2020.</w:t>
      </w:r>
    </w:p>
    <w:p w14:paraId="6554B69A">
      <w:pPr>
        <w:spacing w:before="0" w:after="160" w:line="360" w:lineRule="auto"/>
        <w:jc w:val="both"/>
      </w:pPr>
      <w:r>
        <w:rPr>
          <w:rFonts w:ascii="Times New Roman" w:hAnsi="Times New Roman" w:eastAsia="Times New Roman" w:cs="Times New Roman"/>
          <w:b w:val="0"/>
          <w:bCs w:val="0"/>
          <w:i w:val="0"/>
          <w:iCs w:val="0"/>
          <w:sz w:val="24"/>
          <w:szCs w:val="24"/>
        </w:rPr>
        <w:t>A critical finding of the analysis concerns the evidence of decoupling between economic growth and CO₂ emissions in some advanced economies. In the United States, the United Kingdom, and Germany, CO₂ emissions per capita have declined over the study period even as GDP per capita has increased. This decoupling reflects a combination of factors: structural shifts from heavy manufacturing to service-oriented economies; significant increases in the efficiency of industrial processes; the growth of renewable energy (particularly wind and solar power); and fuel switching from coal to natural gas in electricity generation. The UK, in particular, has achieved substantial reductions in per capita CO₂ emissions, attributable in part to significant expansion of offshore wind capacity and the near-complete phase-out of coal from its electricity grid by the end of the study period.</w:t>
      </w:r>
    </w:p>
    <w:p w14:paraId="33A397AA">
      <w:pPr>
        <w:spacing w:before="0" w:after="160" w:line="360" w:lineRule="auto"/>
        <w:jc w:val="both"/>
      </w:pPr>
      <w:r>
        <w:rPr>
          <w:rFonts w:ascii="Times New Roman" w:hAnsi="Times New Roman" w:eastAsia="Times New Roman" w:cs="Times New Roman"/>
          <w:b w:val="0"/>
          <w:bCs w:val="0"/>
          <w:i w:val="0"/>
          <w:iCs w:val="0"/>
          <w:sz w:val="24"/>
          <w:szCs w:val="24"/>
        </w:rPr>
        <w:t>The donut chart visualization reveals that a relatively small number of major economies account for a disproportionate share of total energy consumption and CO₂ emissions in the dataset. The United States and China together account for approximately 40% of total energy use and CO₂ emissions in the dataset during the 2010s, despite representing only approximately 21% of the global population included in the sample. This concentration of environmental impact highlights the particular responsibility of major economies to lead the global transition to clean energy.</w:t>
      </w:r>
    </w:p>
    <w:p w14:paraId="2EB4ABF9"/>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232E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8" w:space="0"/>
              <w:left w:val="single" w:color="2E75B6" w:sz="8" w:space="0"/>
              <w:bottom w:val="single" w:color="2E75B6" w:sz="8" w:space="0"/>
              <w:right w:val="single" w:color="2E75B6" w:sz="8" w:space="0"/>
            </w:tcBorders>
            <w:shd w:val="clear" w:color="auto" w:fill="EBF3FB"/>
            <w:tcMar>
              <w:top w:w="400" w:type="dxa"/>
              <w:left w:w="400" w:type="dxa"/>
              <w:bottom w:w="400" w:type="dxa"/>
              <w:right w:w="400" w:type="dxa"/>
            </w:tcMar>
            <w:vAlign w:val="center"/>
          </w:tcPr>
          <w:p w14:paraId="6B454AFB">
            <w:pPr>
              <w:jc w:val="center"/>
            </w:pPr>
            <w:r>
              <w:drawing>
                <wp:inline distT="0" distB="0" distL="114300" distR="114300">
                  <wp:extent cx="4274820" cy="1310640"/>
                  <wp:effectExtent l="0" t="0" r="762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1"/>
                          <a:stretch>
                            <a:fillRect/>
                          </a:stretch>
                        </pic:blipFill>
                        <pic:spPr>
                          <a:xfrm>
                            <a:off x="0" y="0"/>
                            <a:ext cx="4274820" cy="1310640"/>
                          </a:xfrm>
                          <a:prstGeom prst="rect">
                            <a:avLst/>
                          </a:prstGeom>
                          <a:noFill/>
                          <a:ln>
                            <a:noFill/>
                          </a:ln>
                        </pic:spPr>
                      </pic:pic>
                    </a:graphicData>
                  </a:graphic>
                </wp:inline>
              </w:drawing>
            </w:r>
          </w:p>
        </w:tc>
      </w:tr>
    </w:tbl>
    <w:p w14:paraId="68D39C61">
      <w:pPr>
        <w:spacing w:before="80" w:after="200"/>
        <w:jc w:val="center"/>
      </w:pPr>
      <w:r>
        <w:rPr>
          <w:rFonts w:ascii="Times New Roman" w:hAnsi="Times New Roman" w:eastAsia="Times New Roman" w:cs="Times New Roman"/>
          <w:b/>
          <w:bCs/>
          <w:i/>
          <w:iCs/>
          <w:sz w:val="22"/>
          <w:szCs w:val="22"/>
        </w:rPr>
        <w:t>Figure 7: Donut Chart Displaying Proportional Share of Energy Use and CO₂ Emissions by Country</w:t>
      </w:r>
    </w:p>
    <w:p w14:paraId="0F588E10"/>
    <w:p w14:paraId="64C3AF6E">
      <w:pPr>
        <w:spacing w:before="80" w:after="80"/>
        <w:jc w:val="center"/>
      </w:pPr>
      <w:r>
        <w:rPr>
          <w:rFonts w:ascii="Times New Roman" w:hAnsi="Times New Roman" w:eastAsia="Times New Roman" w:cs="Times New Roman"/>
          <w:b/>
          <w:bCs/>
          <w:sz w:val="22"/>
          <w:szCs w:val="22"/>
        </w:rPr>
        <w:t>Table 8: Energy Use per Capita – Regional Summary (Average 2010–2020, kg oil eq/capita)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0C3D9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5926CEBB">
            <w:pPr>
              <w:jc w:val="center"/>
            </w:pPr>
            <w:r>
              <w:rPr>
                <w:rFonts w:ascii="Times New Roman" w:hAnsi="Times New Roman" w:eastAsia="Times New Roman" w:cs="Times New Roman"/>
                <w:b/>
                <w:bCs/>
                <w:color w:val="FFFFFF"/>
                <w:sz w:val="22"/>
                <w:szCs w:val="22"/>
              </w:rPr>
              <w:t>Region</w:t>
            </w:r>
          </w:p>
        </w:tc>
        <w:tc>
          <w:tcPr>
            <w:tcW w:w="2256"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1B68F1B6">
            <w:pPr>
              <w:jc w:val="center"/>
            </w:pPr>
            <w:r>
              <w:rPr>
                <w:rFonts w:ascii="Times New Roman" w:hAnsi="Times New Roman" w:eastAsia="Times New Roman" w:cs="Times New Roman"/>
                <w:b/>
                <w:bCs/>
                <w:color w:val="FFFFFF"/>
                <w:sz w:val="22"/>
                <w:szCs w:val="22"/>
              </w:rPr>
              <w:t>Average Energy Use (kg/cap)</w:t>
            </w:r>
          </w:p>
        </w:tc>
        <w:tc>
          <w:tcPr>
            <w:tcW w:w="2256"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7535D9E5">
            <w:pPr>
              <w:jc w:val="center"/>
            </w:pPr>
            <w:r>
              <w:rPr>
                <w:rFonts w:ascii="Times New Roman" w:hAnsi="Times New Roman" w:eastAsia="Times New Roman" w:cs="Times New Roman"/>
                <w:b/>
                <w:bCs/>
                <w:color w:val="FFFFFF"/>
                <w:sz w:val="22"/>
                <w:szCs w:val="22"/>
              </w:rPr>
              <w:t>Highest Country</w:t>
            </w:r>
          </w:p>
        </w:tc>
        <w:tc>
          <w:tcPr>
            <w:tcW w:w="2256"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78D01CB0">
            <w:pPr>
              <w:jc w:val="center"/>
            </w:pPr>
            <w:r>
              <w:rPr>
                <w:rFonts w:ascii="Times New Roman" w:hAnsi="Times New Roman" w:eastAsia="Times New Roman" w:cs="Times New Roman"/>
                <w:b/>
                <w:bCs/>
                <w:color w:val="FFFFFF"/>
                <w:sz w:val="22"/>
                <w:szCs w:val="22"/>
              </w:rPr>
              <w:t>Lowest Country</w:t>
            </w:r>
          </w:p>
        </w:tc>
      </w:tr>
      <w:tr w14:paraId="0927C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FD4F37C">
            <w:pPr>
              <w:jc w:val="center"/>
            </w:pPr>
            <w:r>
              <w:rPr>
                <w:rFonts w:ascii="Times New Roman" w:hAnsi="Times New Roman" w:eastAsia="Times New Roman" w:cs="Times New Roman"/>
                <w:sz w:val="22"/>
                <w:szCs w:val="22"/>
              </w:rPr>
              <w:t>North America</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51AEB32">
            <w:pPr>
              <w:jc w:val="center"/>
            </w:pPr>
            <w:r>
              <w:rPr>
                <w:rFonts w:ascii="Times New Roman" w:hAnsi="Times New Roman" w:eastAsia="Times New Roman" w:cs="Times New Roman"/>
                <w:sz w:val="22"/>
                <w:szCs w:val="22"/>
              </w:rPr>
              <w:t>6,842</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D36757B">
            <w:pPr>
              <w:jc w:val="center"/>
            </w:pPr>
            <w:r>
              <w:rPr>
                <w:rFonts w:ascii="Times New Roman" w:hAnsi="Times New Roman" w:eastAsia="Times New Roman" w:cs="Times New Roman"/>
                <w:sz w:val="22"/>
                <w:szCs w:val="22"/>
              </w:rPr>
              <w:t>Canada (8,421)</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1E7B20C">
            <w:pPr>
              <w:jc w:val="center"/>
            </w:pPr>
            <w:r>
              <w:rPr>
                <w:rFonts w:ascii="Times New Roman" w:hAnsi="Times New Roman" w:eastAsia="Times New Roman" w:cs="Times New Roman"/>
                <w:sz w:val="22"/>
                <w:szCs w:val="22"/>
              </w:rPr>
              <w:t>Mexico (1,524)</w:t>
            </w:r>
          </w:p>
        </w:tc>
      </w:tr>
      <w:tr w14:paraId="384CD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CCF8196">
            <w:pPr>
              <w:jc w:val="center"/>
            </w:pPr>
            <w:r>
              <w:rPr>
                <w:rFonts w:ascii="Times New Roman" w:hAnsi="Times New Roman" w:eastAsia="Times New Roman" w:cs="Times New Roman"/>
                <w:sz w:val="22"/>
                <w:szCs w:val="22"/>
              </w:rPr>
              <w:t>Europe &amp; Central Asia</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20207E5">
            <w:pPr>
              <w:jc w:val="center"/>
            </w:pPr>
            <w:r>
              <w:rPr>
                <w:rFonts w:ascii="Times New Roman" w:hAnsi="Times New Roman" w:eastAsia="Times New Roman" w:cs="Times New Roman"/>
                <w:sz w:val="22"/>
                <w:szCs w:val="22"/>
              </w:rPr>
              <w:t>3,927</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0697BF6D">
            <w:pPr>
              <w:jc w:val="center"/>
            </w:pPr>
            <w:r>
              <w:rPr>
                <w:rFonts w:ascii="Times New Roman" w:hAnsi="Times New Roman" w:eastAsia="Times New Roman" w:cs="Times New Roman"/>
                <w:sz w:val="22"/>
                <w:szCs w:val="22"/>
              </w:rPr>
              <w:t>Iceland (17,884)</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F352F64">
            <w:pPr>
              <w:jc w:val="center"/>
            </w:pPr>
            <w:r>
              <w:rPr>
                <w:rFonts w:ascii="Times New Roman" w:hAnsi="Times New Roman" w:eastAsia="Times New Roman" w:cs="Times New Roman"/>
                <w:sz w:val="22"/>
                <w:szCs w:val="22"/>
              </w:rPr>
              <w:t>Moldova (1,071)</w:t>
            </w:r>
          </w:p>
        </w:tc>
      </w:tr>
      <w:tr w14:paraId="3BC5A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CB0F109">
            <w:pPr>
              <w:jc w:val="center"/>
            </w:pPr>
            <w:r>
              <w:rPr>
                <w:rFonts w:ascii="Times New Roman" w:hAnsi="Times New Roman" w:eastAsia="Times New Roman" w:cs="Times New Roman"/>
                <w:sz w:val="22"/>
                <w:szCs w:val="22"/>
              </w:rPr>
              <w:t>East Asia &amp; Pacific</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591E27A">
            <w:pPr>
              <w:jc w:val="center"/>
            </w:pPr>
            <w:r>
              <w:rPr>
                <w:rFonts w:ascii="Times New Roman" w:hAnsi="Times New Roman" w:eastAsia="Times New Roman" w:cs="Times New Roman"/>
                <w:sz w:val="22"/>
                <w:szCs w:val="22"/>
              </w:rPr>
              <w:t>2,318</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91B854C">
            <w:pPr>
              <w:jc w:val="center"/>
            </w:pPr>
            <w:r>
              <w:rPr>
                <w:rFonts w:ascii="Times New Roman" w:hAnsi="Times New Roman" w:eastAsia="Times New Roman" w:cs="Times New Roman"/>
                <w:sz w:val="22"/>
                <w:szCs w:val="22"/>
              </w:rPr>
              <w:t>South Korea (5,621)</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936B1F6">
            <w:pPr>
              <w:jc w:val="center"/>
            </w:pPr>
            <w:r>
              <w:rPr>
                <w:rFonts w:ascii="Times New Roman" w:hAnsi="Times New Roman" w:eastAsia="Times New Roman" w:cs="Times New Roman"/>
                <w:sz w:val="22"/>
                <w:szCs w:val="22"/>
              </w:rPr>
              <w:t>Cambodia (412)</w:t>
            </w:r>
          </w:p>
        </w:tc>
      </w:tr>
      <w:tr w14:paraId="2D995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3645961">
            <w:pPr>
              <w:jc w:val="center"/>
            </w:pPr>
            <w:r>
              <w:rPr>
                <w:rFonts w:ascii="Times New Roman" w:hAnsi="Times New Roman" w:eastAsia="Times New Roman" w:cs="Times New Roman"/>
                <w:sz w:val="22"/>
                <w:szCs w:val="22"/>
              </w:rPr>
              <w:t>Latin America &amp; Caribbean</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6E3B782">
            <w:pPr>
              <w:jc w:val="center"/>
            </w:pPr>
            <w:r>
              <w:rPr>
                <w:rFonts w:ascii="Times New Roman" w:hAnsi="Times New Roman" w:eastAsia="Times New Roman" w:cs="Times New Roman"/>
                <w:sz w:val="22"/>
                <w:szCs w:val="22"/>
              </w:rPr>
              <w:t>1,489</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61121A6">
            <w:pPr>
              <w:jc w:val="center"/>
            </w:pPr>
            <w:r>
              <w:rPr>
                <w:rFonts w:ascii="Times New Roman" w:hAnsi="Times New Roman" w:eastAsia="Times New Roman" w:cs="Times New Roman"/>
                <w:sz w:val="22"/>
                <w:szCs w:val="22"/>
              </w:rPr>
              <w:t>Venezuela (2,891)</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1721AA1">
            <w:pPr>
              <w:jc w:val="center"/>
            </w:pPr>
            <w:r>
              <w:rPr>
                <w:rFonts w:ascii="Times New Roman" w:hAnsi="Times New Roman" w:eastAsia="Times New Roman" w:cs="Times New Roman"/>
                <w:sz w:val="22"/>
                <w:szCs w:val="22"/>
              </w:rPr>
              <w:t>Haiti (412)</w:t>
            </w:r>
          </w:p>
        </w:tc>
      </w:tr>
      <w:tr w14:paraId="60FDC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702094C">
            <w:pPr>
              <w:jc w:val="center"/>
            </w:pPr>
            <w:r>
              <w:rPr>
                <w:rFonts w:ascii="Times New Roman" w:hAnsi="Times New Roman" w:eastAsia="Times New Roman" w:cs="Times New Roman"/>
                <w:sz w:val="22"/>
                <w:szCs w:val="22"/>
              </w:rPr>
              <w:t>Middle East &amp; North Africa</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847573F">
            <w:pPr>
              <w:jc w:val="center"/>
            </w:pPr>
            <w:r>
              <w:rPr>
                <w:rFonts w:ascii="Times New Roman" w:hAnsi="Times New Roman" w:eastAsia="Times New Roman" w:cs="Times New Roman"/>
                <w:sz w:val="22"/>
                <w:szCs w:val="22"/>
              </w:rPr>
              <w:t>2,734</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340F881">
            <w:pPr>
              <w:jc w:val="center"/>
            </w:pPr>
            <w:r>
              <w:rPr>
                <w:rFonts w:ascii="Times New Roman" w:hAnsi="Times New Roman" w:eastAsia="Times New Roman" w:cs="Times New Roman"/>
                <w:sz w:val="22"/>
                <w:szCs w:val="22"/>
              </w:rPr>
              <w:t>Qatar (14,623)</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C940954">
            <w:pPr>
              <w:jc w:val="center"/>
            </w:pPr>
            <w:r>
              <w:rPr>
                <w:rFonts w:ascii="Times New Roman" w:hAnsi="Times New Roman" w:eastAsia="Times New Roman" w:cs="Times New Roman"/>
                <w:sz w:val="22"/>
                <w:szCs w:val="22"/>
              </w:rPr>
              <w:t>Yemen (456)</w:t>
            </w:r>
          </w:p>
        </w:tc>
      </w:tr>
      <w:tr w14:paraId="35769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061477CE">
            <w:pPr>
              <w:jc w:val="center"/>
            </w:pPr>
            <w:r>
              <w:rPr>
                <w:rFonts w:ascii="Times New Roman" w:hAnsi="Times New Roman" w:eastAsia="Times New Roman" w:cs="Times New Roman"/>
                <w:sz w:val="22"/>
                <w:szCs w:val="22"/>
              </w:rPr>
              <w:t>South Asia</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C96F78E">
            <w:pPr>
              <w:jc w:val="center"/>
            </w:pPr>
            <w:r>
              <w:rPr>
                <w:rFonts w:ascii="Times New Roman" w:hAnsi="Times New Roman" w:eastAsia="Times New Roman" w:cs="Times New Roman"/>
                <w:sz w:val="22"/>
                <w:szCs w:val="22"/>
              </w:rPr>
              <w:t>612</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4DE6ADC">
            <w:pPr>
              <w:jc w:val="center"/>
            </w:pPr>
            <w:r>
              <w:rPr>
                <w:rFonts w:ascii="Times New Roman" w:hAnsi="Times New Roman" w:eastAsia="Times New Roman" w:cs="Times New Roman"/>
                <w:sz w:val="22"/>
                <w:szCs w:val="22"/>
              </w:rPr>
              <w:t>Sri Lanka (891)</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4A125B2">
            <w:pPr>
              <w:jc w:val="center"/>
            </w:pPr>
            <w:r>
              <w:rPr>
                <w:rFonts w:ascii="Times New Roman" w:hAnsi="Times New Roman" w:eastAsia="Times New Roman" w:cs="Times New Roman"/>
                <w:sz w:val="22"/>
                <w:szCs w:val="22"/>
              </w:rPr>
              <w:t>Nepal (415)</w:t>
            </w:r>
          </w:p>
        </w:tc>
      </w:tr>
      <w:tr w14:paraId="364BD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73076B65">
            <w:pPr>
              <w:jc w:val="center"/>
            </w:pPr>
            <w:r>
              <w:rPr>
                <w:rFonts w:ascii="Times New Roman" w:hAnsi="Times New Roman" w:eastAsia="Times New Roman" w:cs="Times New Roman"/>
                <w:sz w:val="22"/>
                <w:szCs w:val="22"/>
              </w:rPr>
              <w:t>Sub-Saharan Africa</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170DCA2">
            <w:pPr>
              <w:jc w:val="center"/>
            </w:pPr>
            <w:r>
              <w:rPr>
                <w:rFonts w:ascii="Times New Roman" w:hAnsi="Times New Roman" w:eastAsia="Times New Roman" w:cs="Times New Roman"/>
                <w:sz w:val="22"/>
                <w:szCs w:val="22"/>
              </w:rPr>
              <w:t>694</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A2814B1">
            <w:pPr>
              <w:jc w:val="center"/>
            </w:pPr>
            <w:r>
              <w:rPr>
                <w:rFonts w:ascii="Times New Roman" w:hAnsi="Times New Roman" w:eastAsia="Times New Roman" w:cs="Times New Roman"/>
                <w:sz w:val="22"/>
                <w:szCs w:val="22"/>
              </w:rPr>
              <w:t>South Africa (2,893)</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52172C8">
            <w:pPr>
              <w:jc w:val="center"/>
            </w:pPr>
            <w:r>
              <w:rPr>
                <w:rFonts w:ascii="Times New Roman" w:hAnsi="Times New Roman" w:eastAsia="Times New Roman" w:cs="Times New Roman"/>
                <w:sz w:val="22"/>
                <w:szCs w:val="22"/>
              </w:rPr>
              <w:t>Eritrea (287)</w:t>
            </w:r>
          </w:p>
        </w:tc>
      </w:tr>
    </w:tbl>
    <w:p w14:paraId="0998B820"/>
    <w:p w14:paraId="6F5FEE78">
      <w:pPr>
        <w:spacing w:before="80" w:after="80"/>
        <w:jc w:val="center"/>
      </w:pPr>
      <w:r>
        <w:rPr>
          <w:rFonts w:ascii="Times New Roman" w:hAnsi="Times New Roman" w:eastAsia="Times New Roman" w:cs="Times New Roman"/>
          <w:b/>
          <w:bCs/>
          <w:sz w:val="22"/>
          <w:szCs w:val="22"/>
        </w:rPr>
        <w:t>Table 9: CO₂ Emissions Ranking by Country – Average per Capita (2010–2020, metric tonnes/capita)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68CFF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36CB7C19">
            <w:pPr>
              <w:jc w:val="center"/>
            </w:pPr>
            <w:r>
              <w:rPr>
                <w:rFonts w:ascii="Times New Roman" w:hAnsi="Times New Roman" w:eastAsia="Times New Roman" w:cs="Times New Roman"/>
                <w:b/>
                <w:bCs/>
                <w:color w:val="FFFFFF"/>
                <w:sz w:val="22"/>
                <w:szCs w:val="22"/>
              </w:rPr>
              <w:t>Rank</w:t>
            </w:r>
          </w:p>
        </w:tc>
        <w:tc>
          <w:tcPr>
            <w:tcW w:w="2256"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529E3EB0">
            <w:pPr>
              <w:jc w:val="center"/>
            </w:pPr>
            <w:r>
              <w:rPr>
                <w:rFonts w:ascii="Times New Roman" w:hAnsi="Times New Roman" w:eastAsia="Times New Roman" w:cs="Times New Roman"/>
                <w:b/>
                <w:bCs/>
                <w:color w:val="FFFFFF"/>
                <w:sz w:val="22"/>
                <w:szCs w:val="22"/>
              </w:rPr>
              <w:t>Country</w:t>
            </w:r>
          </w:p>
        </w:tc>
        <w:tc>
          <w:tcPr>
            <w:tcW w:w="2256"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26F59C8C">
            <w:pPr>
              <w:jc w:val="center"/>
            </w:pPr>
            <w:r>
              <w:rPr>
                <w:rFonts w:ascii="Times New Roman" w:hAnsi="Times New Roman" w:eastAsia="Times New Roman" w:cs="Times New Roman"/>
                <w:b/>
                <w:bCs/>
                <w:color w:val="FFFFFF"/>
                <w:sz w:val="22"/>
                <w:szCs w:val="22"/>
              </w:rPr>
              <w:t>Avg. CO₂ (t/capita)</w:t>
            </w:r>
          </w:p>
        </w:tc>
        <w:tc>
          <w:tcPr>
            <w:tcW w:w="2256"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50D1D784">
            <w:pPr>
              <w:jc w:val="center"/>
            </w:pPr>
            <w:r>
              <w:rPr>
                <w:rFonts w:ascii="Times New Roman" w:hAnsi="Times New Roman" w:eastAsia="Times New Roman" w:cs="Times New Roman"/>
                <w:b/>
                <w:bCs/>
                <w:color w:val="FFFFFF"/>
                <w:sz w:val="22"/>
                <w:szCs w:val="22"/>
              </w:rPr>
              <w:t>Trend (2010 to 2020)</w:t>
            </w:r>
          </w:p>
        </w:tc>
      </w:tr>
      <w:tr w14:paraId="5C574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E8D7D04">
            <w:pPr>
              <w:jc w:val="center"/>
            </w:pPr>
            <w:r>
              <w:rPr>
                <w:rFonts w:ascii="Times New Roman" w:hAnsi="Times New Roman" w:eastAsia="Times New Roman" w:cs="Times New Roman"/>
                <w:sz w:val="22"/>
                <w:szCs w:val="22"/>
              </w:rPr>
              <w:t>1</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8BFFF97">
            <w:pPr>
              <w:jc w:val="center"/>
            </w:pPr>
            <w:r>
              <w:rPr>
                <w:rFonts w:ascii="Times New Roman" w:hAnsi="Times New Roman" w:eastAsia="Times New Roman" w:cs="Times New Roman"/>
                <w:sz w:val="22"/>
                <w:szCs w:val="22"/>
              </w:rPr>
              <w:t>Qatar</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F695789">
            <w:pPr>
              <w:jc w:val="center"/>
            </w:pPr>
            <w:r>
              <w:rPr>
                <w:rFonts w:ascii="Times New Roman" w:hAnsi="Times New Roman" w:eastAsia="Times New Roman" w:cs="Times New Roman"/>
                <w:sz w:val="22"/>
                <w:szCs w:val="22"/>
              </w:rPr>
              <w:t>31.7</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2CE2DCE">
            <w:pPr>
              <w:jc w:val="center"/>
            </w:pPr>
            <w:r>
              <w:rPr>
                <w:rFonts w:ascii="Times New Roman" w:hAnsi="Times New Roman" w:eastAsia="Times New Roman" w:cs="Times New Roman"/>
                <w:sz w:val="22"/>
                <w:szCs w:val="22"/>
              </w:rPr>
              <w:t>Declining (-12%)</w:t>
            </w:r>
          </w:p>
        </w:tc>
      </w:tr>
      <w:tr w14:paraId="0962D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38F3D14">
            <w:pPr>
              <w:jc w:val="center"/>
            </w:pPr>
            <w:r>
              <w:rPr>
                <w:rFonts w:ascii="Times New Roman" w:hAnsi="Times New Roman" w:eastAsia="Times New Roman" w:cs="Times New Roman"/>
                <w:sz w:val="22"/>
                <w:szCs w:val="22"/>
              </w:rPr>
              <w:t>2</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E5406F7">
            <w:pPr>
              <w:jc w:val="center"/>
            </w:pPr>
            <w:r>
              <w:rPr>
                <w:rFonts w:ascii="Times New Roman" w:hAnsi="Times New Roman" w:eastAsia="Times New Roman" w:cs="Times New Roman"/>
                <w:sz w:val="22"/>
                <w:szCs w:val="22"/>
              </w:rPr>
              <w:t>Kuwait</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AFEEC73">
            <w:pPr>
              <w:jc w:val="center"/>
            </w:pPr>
            <w:r>
              <w:rPr>
                <w:rFonts w:ascii="Times New Roman" w:hAnsi="Times New Roman" w:eastAsia="Times New Roman" w:cs="Times New Roman"/>
                <w:sz w:val="22"/>
                <w:szCs w:val="22"/>
              </w:rPr>
              <w:t>24.8</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617A577D">
            <w:pPr>
              <w:jc w:val="center"/>
            </w:pPr>
            <w:r>
              <w:rPr>
                <w:rFonts w:ascii="Times New Roman" w:hAnsi="Times New Roman" w:eastAsia="Times New Roman" w:cs="Times New Roman"/>
                <w:sz w:val="22"/>
                <w:szCs w:val="22"/>
              </w:rPr>
              <w:t>Stable</w:t>
            </w:r>
          </w:p>
        </w:tc>
      </w:tr>
      <w:tr w14:paraId="1A0E5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EB8D3DB">
            <w:pPr>
              <w:jc w:val="center"/>
            </w:pPr>
            <w:r>
              <w:rPr>
                <w:rFonts w:ascii="Times New Roman" w:hAnsi="Times New Roman" w:eastAsia="Times New Roman" w:cs="Times New Roman"/>
                <w:sz w:val="22"/>
                <w:szCs w:val="22"/>
              </w:rPr>
              <w:t>3</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CA44A94">
            <w:pPr>
              <w:jc w:val="center"/>
            </w:pPr>
            <w:r>
              <w:rPr>
                <w:rFonts w:ascii="Times New Roman" w:hAnsi="Times New Roman" w:eastAsia="Times New Roman" w:cs="Times New Roman"/>
                <w:sz w:val="22"/>
                <w:szCs w:val="22"/>
              </w:rPr>
              <w:t>Australia</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A93BA59">
            <w:pPr>
              <w:jc w:val="center"/>
            </w:pPr>
            <w:r>
              <w:rPr>
                <w:rFonts w:ascii="Times New Roman" w:hAnsi="Times New Roman" w:eastAsia="Times New Roman" w:cs="Times New Roman"/>
                <w:sz w:val="22"/>
                <w:szCs w:val="22"/>
              </w:rPr>
              <w:t>16.3</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00DEBBE">
            <w:pPr>
              <w:jc w:val="center"/>
            </w:pPr>
            <w:r>
              <w:rPr>
                <w:rFonts w:ascii="Times New Roman" w:hAnsi="Times New Roman" w:eastAsia="Times New Roman" w:cs="Times New Roman"/>
                <w:sz w:val="22"/>
                <w:szCs w:val="22"/>
              </w:rPr>
              <w:t>Declining (-8%)</w:t>
            </w:r>
          </w:p>
        </w:tc>
      </w:tr>
      <w:tr w14:paraId="3479A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621122A">
            <w:pPr>
              <w:jc w:val="center"/>
            </w:pPr>
            <w:r>
              <w:rPr>
                <w:rFonts w:ascii="Times New Roman" w:hAnsi="Times New Roman" w:eastAsia="Times New Roman" w:cs="Times New Roman"/>
                <w:sz w:val="22"/>
                <w:szCs w:val="22"/>
              </w:rPr>
              <w:t>4</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7BF079A">
            <w:pPr>
              <w:jc w:val="center"/>
            </w:pPr>
            <w:r>
              <w:rPr>
                <w:rFonts w:ascii="Times New Roman" w:hAnsi="Times New Roman" w:eastAsia="Times New Roman" w:cs="Times New Roman"/>
                <w:sz w:val="22"/>
                <w:szCs w:val="22"/>
              </w:rPr>
              <w:t>United States</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07193D6B">
            <w:pPr>
              <w:jc w:val="center"/>
            </w:pPr>
            <w:r>
              <w:rPr>
                <w:rFonts w:ascii="Times New Roman" w:hAnsi="Times New Roman" w:eastAsia="Times New Roman" w:cs="Times New Roman"/>
                <w:sz w:val="22"/>
                <w:szCs w:val="22"/>
              </w:rPr>
              <w:t>16.1</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6F282C5">
            <w:pPr>
              <w:jc w:val="center"/>
            </w:pPr>
            <w:r>
              <w:rPr>
                <w:rFonts w:ascii="Times New Roman" w:hAnsi="Times New Roman" w:eastAsia="Times New Roman" w:cs="Times New Roman"/>
                <w:sz w:val="22"/>
                <w:szCs w:val="22"/>
              </w:rPr>
              <w:t>Declining (-15%)</w:t>
            </w:r>
          </w:p>
        </w:tc>
      </w:tr>
      <w:tr w14:paraId="4C162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77417C9">
            <w:pPr>
              <w:jc w:val="center"/>
            </w:pPr>
            <w:r>
              <w:rPr>
                <w:rFonts w:ascii="Times New Roman" w:hAnsi="Times New Roman" w:eastAsia="Times New Roman" w:cs="Times New Roman"/>
                <w:sz w:val="22"/>
                <w:szCs w:val="22"/>
              </w:rPr>
              <w:t>5</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7D1870C">
            <w:pPr>
              <w:jc w:val="center"/>
            </w:pPr>
            <w:r>
              <w:rPr>
                <w:rFonts w:ascii="Times New Roman" w:hAnsi="Times New Roman" w:eastAsia="Times New Roman" w:cs="Times New Roman"/>
                <w:sz w:val="22"/>
                <w:szCs w:val="22"/>
              </w:rPr>
              <w:t>Canada</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7A3A1127">
            <w:pPr>
              <w:jc w:val="center"/>
            </w:pPr>
            <w:r>
              <w:rPr>
                <w:rFonts w:ascii="Times New Roman" w:hAnsi="Times New Roman" w:eastAsia="Times New Roman" w:cs="Times New Roman"/>
                <w:sz w:val="22"/>
                <w:szCs w:val="22"/>
              </w:rPr>
              <w:t>15.4</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973857A">
            <w:pPr>
              <w:jc w:val="center"/>
            </w:pPr>
            <w:r>
              <w:rPr>
                <w:rFonts w:ascii="Times New Roman" w:hAnsi="Times New Roman" w:eastAsia="Times New Roman" w:cs="Times New Roman"/>
                <w:sz w:val="22"/>
                <w:szCs w:val="22"/>
              </w:rPr>
              <w:t>Declining (-7%)</w:t>
            </w:r>
          </w:p>
        </w:tc>
      </w:tr>
      <w:tr w14:paraId="15D12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07464FC">
            <w:pPr>
              <w:jc w:val="center"/>
            </w:pPr>
            <w:r>
              <w:rPr>
                <w:rFonts w:ascii="Times New Roman" w:hAnsi="Times New Roman" w:eastAsia="Times New Roman" w:cs="Times New Roman"/>
                <w:sz w:val="22"/>
                <w:szCs w:val="22"/>
              </w:rPr>
              <w:t>6</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08DAF0F">
            <w:pPr>
              <w:jc w:val="center"/>
            </w:pPr>
            <w:r>
              <w:rPr>
                <w:rFonts w:ascii="Times New Roman" w:hAnsi="Times New Roman" w:eastAsia="Times New Roman" w:cs="Times New Roman"/>
                <w:sz w:val="22"/>
                <w:szCs w:val="22"/>
              </w:rPr>
              <w:t>South Korea</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094197C1">
            <w:pPr>
              <w:jc w:val="center"/>
            </w:pPr>
            <w:r>
              <w:rPr>
                <w:rFonts w:ascii="Times New Roman" w:hAnsi="Times New Roman" w:eastAsia="Times New Roman" w:cs="Times New Roman"/>
                <w:sz w:val="22"/>
                <w:szCs w:val="22"/>
              </w:rPr>
              <w:t>11.8</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F2E2029">
            <w:pPr>
              <w:jc w:val="center"/>
            </w:pPr>
            <w:r>
              <w:rPr>
                <w:rFonts w:ascii="Times New Roman" w:hAnsi="Times New Roman" w:eastAsia="Times New Roman" w:cs="Times New Roman"/>
                <w:sz w:val="22"/>
                <w:szCs w:val="22"/>
              </w:rPr>
              <w:t>Increasing (+6%)</w:t>
            </w:r>
          </w:p>
        </w:tc>
      </w:tr>
      <w:tr w14:paraId="09F0A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D5CCE92">
            <w:pPr>
              <w:jc w:val="center"/>
            </w:pPr>
            <w:r>
              <w:rPr>
                <w:rFonts w:ascii="Times New Roman" w:hAnsi="Times New Roman" w:eastAsia="Times New Roman" w:cs="Times New Roman"/>
                <w:sz w:val="22"/>
                <w:szCs w:val="22"/>
              </w:rPr>
              <w:t>7</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C0CB1A7">
            <w:pPr>
              <w:jc w:val="center"/>
            </w:pPr>
            <w:r>
              <w:rPr>
                <w:rFonts w:ascii="Times New Roman" w:hAnsi="Times New Roman" w:eastAsia="Times New Roman" w:cs="Times New Roman"/>
                <w:sz w:val="22"/>
                <w:szCs w:val="22"/>
              </w:rPr>
              <w:t>Germany</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7075C7B">
            <w:pPr>
              <w:jc w:val="center"/>
            </w:pPr>
            <w:r>
              <w:rPr>
                <w:rFonts w:ascii="Times New Roman" w:hAnsi="Times New Roman" w:eastAsia="Times New Roman" w:cs="Times New Roman"/>
                <w:sz w:val="22"/>
                <w:szCs w:val="22"/>
              </w:rPr>
              <w:t>9.2</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F3AD6F5">
            <w:pPr>
              <w:jc w:val="center"/>
            </w:pPr>
            <w:r>
              <w:rPr>
                <w:rFonts w:ascii="Times New Roman" w:hAnsi="Times New Roman" w:eastAsia="Times New Roman" w:cs="Times New Roman"/>
                <w:sz w:val="22"/>
                <w:szCs w:val="22"/>
              </w:rPr>
              <w:t>Declining (-24%)</w:t>
            </w:r>
          </w:p>
        </w:tc>
      </w:tr>
      <w:tr w14:paraId="7CC4C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60C2E9EF">
            <w:pPr>
              <w:jc w:val="center"/>
            </w:pPr>
            <w:r>
              <w:rPr>
                <w:rFonts w:ascii="Times New Roman" w:hAnsi="Times New Roman" w:eastAsia="Times New Roman" w:cs="Times New Roman"/>
                <w:sz w:val="22"/>
                <w:szCs w:val="22"/>
              </w:rPr>
              <w:t>8</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FF8B96E">
            <w:pPr>
              <w:jc w:val="center"/>
            </w:pPr>
            <w:r>
              <w:rPr>
                <w:rFonts w:ascii="Times New Roman" w:hAnsi="Times New Roman" w:eastAsia="Times New Roman" w:cs="Times New Roman"/>
                <w:sz w:val="22"/>
                <w:szCs w:val="22"/>
              </w:rPr>
              <w:t>Japan</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71BE635">
            <w:pPr>
              <w:jc w:val="center"/>
            </w:pPr>
            <w:r>
              <w:rPr>
                <w:rFonts w:ascii="Times New Roman" w:hAnsi="Times New Roman" w:eastAsia="Times New Roman" w:cs="Times New Roman"/>
                <w:sz w:val="22"/>
                <w:szCs w:val="22"/>
              </w:rPr>
              <w:t>9.1</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4914F19">
            <w:pPr>
              <w:jc w:val="center"/>
            </w:pPr>
            <w:r>
              <w:rPr>
                <w:rFonts w:ascii="Times New Roman" w:hAnsi="Times New Roman" w:eastAsia="Times New Roman" w:cs="Times New Roman"/>
                <w:sz w:val="22"/>
                <w:szCs w:val="22"/>
              </w:rPr>
              <w:t>Declining (-5%)</w:t>
            </w:r>
          </w:p>
        </w:tc>
      </w:tr>
      <w:tr w14:paraId="364C1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6F3DA29">
            <w:pPr>
              <w:jc w:val="center"/>
            </w:pPr>
            <w:r>
              <w:rPr>
                <w:rFonts w:ascii="Times New Roman" w:hAnsi="Times New Roman" w:eastAsia="Times New Roman" w:cs="Times New Roman"/>
                <w:sz w:val="22"/>
                <w:szCs w:val="22"/>
              </w:rPr>
              <w:t>9</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957B241">
            <w:pPr>
              <w:jc w:val="center"/>
            </w:pPr>
            <w:r>
              <w:rPr>
                <w:rFonts w:ascii="Times New Roman" w:hAnsi="Times New Roman" w:eastAsia="Times New Roman" w:cs="Times New Roman"/>
                <w:sz w:val="22"/>
                <w:szCs w:val="22"/>
              </w:rPr>
              <w:t>China</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7E9D8D04">
            <w:pPr>
              <w:jc w:val="center"/>
            </w:pPr>
            <w:r>
              <w:rPr>
                <w:rFonts w:ascii="Times New Roman" w:hAnsi="Times New Roman" w:eastAsia="Times New Roman" w:cs="Times New Roman"/>
                <w:sz w:val="22"/>
                <w:szCs w:val="22"/>
              </w:rPr>
              <w:t>7.1</w:t>
            </w:r>
          </w:p>
        </w:tc>
        <w:tc>
          <w:tcPr>
            <w:tcW w:w="2256"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AA9ABB1">
            <w:pPr>
              <w:jc w:val="center"/>
            </w:pPr>
            <w:r>
              <w:rPr>
                <w:rFonts w:ascii="Times New Roman" w:hAnsi="Times New Roman" w:eastAsia="Times New Roman" w:cs="Times New Roman"/>
                <w:sz w:val="22"/>
                <w:szCs w:val="22"/>
              </w:rPr>
              <w:t>Increasing (+42%)</w:t>
            </w:r>
          </w:p>
        </w:tc>
      </w:tr>
      <w:tr w14:paraId="25A12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CD429CA">
            <w:pPr>
              <w:jc w:val="center"/>
            </w:pPr>
            <w:r>
              <w:rPr>
                <w:rFonts w:ascii="Times New Roman" w:hAnsi="Times New Roman" w:eastAsia="Times New Roman" w:cs="Times New Roman"/>
                <w:sz w:val="22"/>
                <w:szCs w:val="22"/>
              </w:rPr>
              <w:t>10</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3E6317C">
            <w:pPr>
              <w:jc w:val="center"/>
            </w:pPr>
            <w:r>
              <w:rPr>
                <w:rFonts w:ascii="Times New Roman" w:hAnsi="Times New Roman" w:eastAsia="Times New Roman" w:cs="Times New Roman"/>
                <w:sz w:val="22"/>
                <w:szCs w:val="22"/>
              </w:rPr>
              <w:t>United Kingdom</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F097FF2">
            <w:pPr>
              <w:jc w:val="center"/>
            </w:pPr>
            <w:r>
              <w:rPr>
                <w:rFonts w:ascii="Times New Roman" w:hAnsi="Times New Roman" w:eastAsia="Times New Roman" w:cs="Times New Roman"/>
                <w:sz w:val="22"/>
                <w:szCs w:val="22"/>
              </w:rPr>
              <w:t>5.5</w:t>
            </w:r>
          </w:p>
        </w:tc>
        <w:tc>
          <w:tcPr>
            <w:tcW w:w="225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479AA0F">
            <w:pPr>
              <w:jc w:val="center"/>
            </w:pPr>
            <w:r>
              <w:rPr>
                <w:rFonts w:ascii="Times New Roman" w:hAnsi="Times New Roman" w:eastAsia="Times New Roman" w:cs="Times New Roman"/>
                <w:sz w:val="22"/>
                <w:szCs w:val="22"/>
              </w:rPr>
              <w:t>Declining (-38%)</w:t>
            </w:r>
          </w:p>
        </w:tc>
      </w:tr>
    </w:tbl>
    <w:p w14:paraId="6EC12234">
      <w:pPr>
        <w:pStyle w:val="4"/>
        <w:spacing w:before="240" w:after="120"/>
      </w:pPr>
      <w:r>
        <w:rPr>
          <w:rFonts w:ascii="Times New Roman" w:hAnsi="Times New Roman" w:eastAsia="Times New Roman" w:cs="Times New Roman"/>
          <w:b/>
          <w:bCs/>
          <w:sz w:val="26"/>
          <w:szCs w:val="26"/>
        </w:rPr>
        <w:t>4.3.5 Visualization Explanation</w:t>
      </w:r>
    </w:p>
    <w:p w14:paraId="0BD38484">
      <w:pPr>
        <w:spacing w:before="0" w:after="160" w:line="360" w:lineRule="auto"/>
        <w:jc w:val="both"/>
      </w:pPr>
      <w:r>
        <w:rPr>
          <w:rFonts w:ascii="Times New Roman" w:hAnsi="Times New Roman" w:eastAsia="Times New Roman" w:cs="Times New Roman"/>
          <w:b w:val="0"/>
          <w:bCs w:val="0"/>
          <w:i w:val="0"/>
          <w:iCs w:val="0"/>
          <w:sz w:val="24"/>
          <w:szCs w:val="24"/>
        </w:rPr>
        <w:t>The donut chart visualization for this objective is configured to simultaneously display two related measures (Energy Use and CO₂ Emissions) disaggregated by country, enabling a direct visual comparison of each country's share of the total within each environmental dimension. The dual-ring structure of the donut chart (one ring for energy, one for CO₂) makes it immediately apparent which countries have a larger environmental footprint relative to their peers.</w:t>
      </w:r>
    </w:p>
    <w:p w14:paraId="56F3EEF5">
      <w:pPr>
        <w:spacing w:before="0" w:after="160" w:line="360" w:lineRule="auto"/>
        <w:jc w:val="both"/>
      </w:pPr>
      <w:r>
        <w:rPr>
          <w:rFonts w:ascii="Times New Roman" w:hAnsi="Times New Roman" w:eastAsia="Times New Roman" w:cs="Times New Roman"/>
          <w:b w:val="0"/>
          <w:bCs w:val="0"/>
          <w:i w:val="0"/>
          <w:iCs w:val="0"/>
          <w:sz w:val="24"/>
          <w:szCs w:val="24"/>
        </w:rPr>
        <w:t>The multi-indicator line chart, which plots multiple indicator series (including Energy, CO₂, and optionally Freshwater) on the same temporal axis using the Indicator field as a series dimension, enables the identification of co-movement and divergence between environmental variables over time. For instance, the chart makes it clearly visible that Energy Use and CO₂ Emissions generally move together (reflecting their common driver of fossil fuel combustion), while the rate of increase has moderated in some countries during the 2010s, consistent with the decoupling hypothesis.</w:t>
      </w:r>
    </w:p>
    <w:p w14:paraId="64016770"/>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5646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8" w:space="0"/>
              <w:left w:val="single" w:color="2E75B6" w:sz="8" w:space="0"/>
              <w:bottom w:val="single" w:color="2E75B6" w:sz="8" w:space="0"/>
              <w:right w:val="single" w:color="2E75B6" w:sz="8" w:space="0"/>
            </w:tcBorders>
            <w:shd w:val="clear" w:color="auto" w:fill="EBF3FB"/>
            <w:tcMar>
              <w:top w:w="400" w:type="dxa"/>
              <w:left w:w="400" w:type="dxa"/>
              <w:bottom w:w="400" w:type="dxa"/>
              <w:right w:w="400" w:type="dxa"/>
            </w:tcMar>
            <w:vAlign w:val="center"/>
          </w:tcPr>
          <w:p w14:paraId="643A9099">
            <w:pPr>
              <w:jc w:val="center"/>
            </w:pPr>
            <w:r>
              <w:drawing>
                <wp:inline distT="0" distB="0" distL="114300" distR="114300">
                  <wp:extent cx="4377690" cy="1394460"/>
                  <wp:effectExtent l="0" t="0" r="11430" b="762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2"/>
                          <a:stretch>
                            <a:fillRect/>
                          </a:stretch>
                        </pic:blipFill>
                        <pic:spPr>
                          <a:xfrm>
                            <a:off x="0" y="0"/>
                            <a:ext cx="4377690" cy="1394460"/>
                          </a:xfrm>
                          <a:prstGeom prst="rect">
                            <a:avLst/>
                          </a:prstGeom>
                          <a:noFill/>
                          <a:ln>
                            <a:noFill/>
                          </a:ln>
                        </pic:spPr>
                      </pic:pic>
                    </a:graphicData>
                  </a:graphic>
                </wp:inline>
              </w:drawing>
            </w:r>
          </w:p>
        </w:tc>
      </w:tr>
    </w:tbl>
    <w:p w14:paraId="76F3593E">
      <w:pPr>
        <w:spacing w:before="80" w:after="200"/>
        <w:jc w:val="center"/>
      </w:pPr>
      <w:r>
        <w:rPr>
          <w:rFonts w:ascii="Times New Roman" w:hAnsi="Times New Roman" w:eastAsia="Times New Roman" w:cs="Times New Roman"/>
          <w:b/>
          <w:bCs/>
          <w:i/>
          <w:iCs/>
          <w:sz w:val="22"/>
          <w:szCs w:val="22"/>
        </w:rPr>
        <w:t>Figure 8: Combined Line Chart Showing Energy Use, CO₂ Emissions, and Freshwater Consumption Over Time</w:t>
      </w:r>
    </w:p>
    <w:p w14:paraId="722E299C">
      <w:pPr>
        <w:pStyle w:val="3"/>
        <w:spacing w:before="280" w:after="160"/>
      </w:pPr>
      <w:r>
        <w:rPr>
          <w:rFonts w:ascii="Times New Roman" w:hAnsi="Times New Roman" w:eastAsia="Times New Roman" w:cs="Times New Roman"/>
          <w:b/>
          <w:bCs/>
          <w:sz w:val="28"/>
          <w:szCs w:val="28"/>
        </w:rPr>
        <w:t>4.4 Objective 4 – Freshwater Consumption Patterns</w:t>
      </w:r>
    </w:p>
    <w:p w14:paraId="48A48489">
      <w:pPr>
        <w:pStyle w:val="4"/>
        <w:spacing w:before="240" w:after="120"/>
      </w:pPr>
      <w:r>
        <w:rPr>
          <w:rFonts w:ascii="Times New Roman" w:hAnsi="Times New Roman" w:eastAsia="Times New Roman" w:cs="Times New Roman"/>
          <w:b/>
          <w:bCs/>
          <w:sz w:val="26"/>
          <w:szCs w:val="26"/>
        </w:rPr>
        <w:t>4.4.1 General Description</w:t>
      </w:r>
    </w:p>
    <w:p w14:paraId="14EA2D09">
      <w:pPr>
        <w:spacing w:before="0" w:after="160" w:line="360" w:lineRule="auto"/>
        <w:jc w:val="both"/>
      </w:pPr>
      <w:r>
        <w:rPr>
          <w:rFonts w:ascii="Times New Roman" w:hAnsi="Times New Roman" w:eastAsia="Times New Roman" w:cs="Times New Roman"/>
          <w:b w:val="0"/>
          <w:bCs w:val="0"/>
          <w:i w:val="0"/>
          <w:iCs w:val="0"/>
          <w:sz w:val="24"/>
          <w:szCs w:val="24"/>
        </w:rPr>
        <w:t>Freshwater is perhaps the most fundamentally vital resource for human civilization, underpinning agriculture, industrial production, energy generation, and basic human health and sanitation. Yet unlike energy, which can theoretically be sourced from renewable flows of sunlight, wind, and water, the total stock of accessible freshwater on Earth is finite and distributed with extreme geographic unevenness. Approximately 97% of all water on Earth is saline ocean water, and of the 3% that is fresh, roughly two-thirds is locked in glaciers and polar ice caps, leaving less than 1% of Earth's total water supply as accessible freshwater in rivers, lakes, and aquifers.</w:t>
      </w:r>
    </w:p>
    <w:p w14:paraId="045DAE5E">
      <w:pPr>
        <w:spacing w:before="0" w:after="160" w:line="360" w:lineRule="auto"/>
        <w:jc w:val="both"/>
      </w:pPr>
      <w:r>
        <w:rPr>
          <w:rFonts w:ascii="Times New Roman" w:hAnsi="Times New Roman" w:eastAsia="Times New Roman" w:cs="Times New Roman"/>
          <w:b w:val="0"/>
          <w:bCs w:val="0"/>
          <w:i w:val="0"/>
          <w:iCs w:val="0"/>
          <w:sz w:val="24"/>
          <w:szCs w:val="24"/>
        </w:rPr>
        <w:t>The pressure of human economic activity on this limited resource stock is enormous and growing. Global freshwater withdrawal has increased by approximately six-fold over the past century, driven by the expansion of irrigated agriculture (which accounts for approximately 70% of all withdrawals), industrial processes (approximately 19%), and domestic consumption (approximately 11%). Climate change compounds the challenge by altering precipitation patterns, accelerating glacial melt, and increasing evapotranspiration rates, thereby reducing the reliable yield of many freshwater systems.</w:t>
      </w:r>
    </w:p>
    <w:p w14:paraId="6482E5B1">
      <w:pPr>
        <w:spacing w:before="0" w:after="160" w:line="360" w:lineRule="auto"/>
        <w:jc w:val="both"/>
      </w:pPr>
      <w:r>
        <w:rPr>
          <w:rFonts w:ascii="Times New Roman" w:hAnsi="Times New Roman" w:eastAsia="Times New Roman" w:cs="Times New Roman"/>
          <w:b w:val="0"/>
          <w:bCs w:val="0"/>
          <w:i w:val="0"/>
          <w:iCs w:val="0"/>
          <w:sz w:val="24"/>
          <w:szCs w:val="24"/>
        </w:rPr>
        <w:t>This objective examines the freshwater withdrawal data in the dataset, focusing on identifying which countries face the highest levels of water stress (as measured by the ratio of withdrawal to available resources), how these patterns have evolved over time, and what factors (agricultural intensity, economic structure, climate zone) appear to be associated with high water stress.</w:t>
      </w:r>
    </w:p>
    <w:p w14:paraId="7B3CB931">
      <w:pPr>
        <w:pStyle w:val="4"/>
        <w:spacing w:before="240" w:after="120"/>
      </w:pPr>
      <w:r>
        <w:rPr>
          <w:rFonts w:ascii="Times New Roman" w:hAnsi="Times New Roman" w:eastAsia="Times New Roman" w:cs="Times New Roman"/>
          <w:b/>
          <w:bCs/>
          <w:sz w:val="26"/>
          <w:szCs w:val="26"/>
        </w:rPr>
        <w:t>4.4.2 Specific Requirements</w:t>
      </w:r>
    </w:p>
    <w:p w14:paraId="466F01F1">
      <w:pPr>
        <w:pStyle w:val="16"/>
        <w:numPr>
          <w:ilvl w:val="0"/>
          <w:numId w:val="1"/>
        </w:numPr>
        <w:spacing w:after="120" w:line="360" w:lineRule="auto"/>
      </w:pPr>
      <w:r>
        <w:rPr>
          <w:rFonts w:ascii="Times New Roman" w:hAnsi="Times New Roman" w:eastAsia="Times New Roman" w:cs="Times New Roman"/>
          <w:sz w:val="24"/>
          <w:szCs w:val="24"/>
        </w:rPr>
        <w:t>Analysis of freshwater withdrawal as a percentage of internal renewable resources across all countries with available data.</w:t>
      </w:r>
    </w:p>
    <w:p w14:paraId="03E83248">
      <w:pPr>
        <w:pStyle w:val="16"/>
        <w:numPr>
          <w:ilvl w:val="0"/>
          <w:numId w:val="1"/>
        </w:numPr>
        <w:spacing w:after="120" w:line="360" w:lineRule="auto"/>
      </w:pPr>
      <w:r>
        <w:rPr>
          <w:rFonts w:ascii="Times New Roman" w:hAnsi="Times New Roman" w:eastAsia="Times New Roman" w:cs="Times New Roman"/>
          <w:sz w:val="24"/>
          <w:szCs w:val="24"/>
        </w:rPr>
        <w:t>Identification of countries in critical, high, moderate, and low water stress categories using the water stress classification framework.</w:t>
      </w:r>
    </w:p>
    <w:p w14:paraId="347D3B1C">
      <w:pPr>
        <w:pStyle w:val="16"/>
        <w:numPr>
          <w:ilvl w:val="0"/>
          <w:numId w:val="1"/>
        </w:numPr>
        <w:spacing w:after="120" w:line="360" w:lineRule="auto"/>
      </w:pPr>
      <w:r>
        <w:rPr>
          <w:rFonts w:ascii="Times New Roman" w:hAnsi="Times New Roman" w:eastAsia="Times New Roman" w:cs="Times New Roman"/>
          <w:sz w:val="24"/>
          <w:szCs w:val="24"/>
        </w:rPr>
        <w:t>Temporal trend analysis of freshwater withdrawal patterns to assess whether water use efficiency is improving over time.</w:t>
      </w:r>
    </w:p>
    <w:p w14:paraId="14BB17B8">
      <w:pPr>
        <w:pStyle w:val="16"/>
        <w:numPr>
          <w:ilvl w:val="0"/>
          <w:numId w:val="1"/>
        </w:numPr>
        <w:spacing w:after="120" w:line="360" w:lineRule="auto"/>
      </w:pPr>
      <w:r>
        <w:rPr>
          <w:rFonts w:ascii="Times New Roman" w:hAnsi="Times New Roman" w:eastAsia="Times New Roman" w:cs="Times New Roman"/>
          <w:sz w:val="24"/>
          <w:szCs w:val="24"/>
        </w:rPr>
        <w:t>Display of the Freshwater KPI card on the dashboard, with dynamic updating in response to slicer selections.</w:t>
      </w:r>
    </w:p>
    <w:p w14:paraId="74C96D7C">
      <w:pPr>
        <w:pStyle w:val="16"/>
        <w:numPr>
          <w:ilvl w:val="0"/>
          <w:numId w:val="1"/>
        </w:numPr>
        <w:spacing w:after="120" w:line="360" w:lineRule="auto"/>
      </w:pPr>
      <w:r>
        <w:rPr>
          <w:rFonts w:ascii="Times New Roman" w:hAnsi="Times New Roman" w:eastAsia="Times New Roman" w:cs="Times New Roman"/>
          <w:sz w:val="24"/>
          <w:szCs w:val="24"/>
        </w:rPr>
        <w:t>Cross-variable analysis examining the relationship between agricultural intensity (as a proxy for irrigation demand) and water stress levels.</w:t>
      </w:r>
    </w:p>
    <w:p w14:paraId="1A7BCFDC">
      <w:pPr>
        <w:pStyle w:val="4"/>
        <w:spacing w:before="240" w:after="120"/>
      </w:pPr>
      <w:r>
        <w:rPr>
          <w:rFonts w:ascii="Times New Roman" w:hAnsi="Times New Roman" w:eastAsia="Times New Roman" w:cs="Times New Roman"/>
          <w:b/>
          <w:bCs/>
          <w:sz w:val="26"/>
          <w:szCs w:val="26"/>
        </w:rPr>
        <w:t>4.4.3 Step-by-Step Analysis</w:t>
      </w:r>
    </w:p>
    <w:p w14:paraId="5D5A5CDE">
      <w:pPr>
        <w:pStyle w:val="16"/>
        <w:numPr>
          <w:ilvl w:val="0"/>
          <w:numId w:val="2"/>
        </w:numPr>
        <w:spacing w:after="120" w:line="360" w:lineRule="auto"/>
      </w:pPr>
      <w:r>
        <w:rPr>
          <w:rFonts w:ascii="Times New Roman" w:hAnsi="Times New Roman" w:eastAsia="Times New Roman" w:cs="Times New Roman"/>
          <w:sz w:val="24"/>
          <w:szCs w:val="24"/>
        </w:rPr>
        <w:t>Step 1 – Freshwater Data Extraction: The Freshwater indicator was selected via the Indicator slicer, and the dashboard visualizations updated to reflect freshwater data for all available countries and years.</w:t>
      </w:r>
    </w:p>
    <w:p w14:paraId="6239B50A">
      <w:pPr>
        <w:pStyle w:val="16"/>
        <w:numPr>
          <w:ilvl w:val="0"/>
          <w:numId w:val="2"/>
        </w:numPr>
        <w:spacing w:after="120" w:line="360" w:lineRule="auto"/>
      </w:pPr>
      <w:r>
        <w:rPr>
          <w:rFonts w:ascii="Times New Roman" w:hAnsi="Times New Roman" w:eastAsia="Times New Roman" w:cs="Times New Roman"/>
          <w:sz w:val="24"/>
          <w:szCs w:val="24"/>
        </w:rPr>
        <w:t>Step 2 – Water Stress Classification: The derived Water Stress Category variable (engineered in Chapter 3 using DAX) was applied to classify each country-year observation into one of four stress categories: Low (&lt;10%), Moderate (10–40%), High (40–80%), and Critical (&gt;80%).</w:t>
      </w:r>
    </w:p>
    <w:p w14:paraId="5581785F">
      <w:pPr>
        <w:pStyle w:val="16"/>
        <w:numPr>
          <w:ilvl w:val="0"/>
          <w:numId w:val="2"/>
        </w:numPr>
        <w:spacing w:after="120" w:line="360" w:lineRule="auto"/>
      </w:pPr>
      <w:r>
        <w:rPr>
          <w:rFonts w:ascii="Times New Roman" w:hAnsi="Times New Roman" w:eastAsia="Times New Roman" w:cs="Times New Roman"/>
          <w:sz w:val="24"/>
          <w:szCs w:val="24"/>
        </w:rPr>
        <w:t>Step 3 – Multi-Indicator Chart Examination: The multi-indicator line chart was configured to display Freshwater as a series, enabling visual examination of how withdrawal ratios have changed over time for selected countries.</w:t>
      </w:r>
    </w:p>
    <w:p w14:paraId="0FE831D9">
      <w:pPr>
        <w:pStyle w:val="16"/>
        <w:numPr>
          <w:ilvl w:val="0"/>
          <w:numId w:val="2"/>
        </w:numPr>
        <w:spacing w:after="120" w:line="360" w:lineRule="auto"/>
      </w:pPr>
      <w:r>
        <w:rPr>
          <w:rFonts w:ascii="Times New Roman" w:hAnsi="Times New Roman" w:eastAsia="Times New Roman" w:cs="Times New Roman"/>
          <w:sz w:val="24"/>
          <w:szCs w:val="24"/>
        </w:rPr>
        <w:t>Step 4 – Geographic Mapping: The MapBySquillion world map visual was used to display the geographic distribution of water stress categories, enabling immediate visual identification of the most water-stressed regions of the world.</w:t>
      </w:r>
    </w:p>
    <w:p w14:paraId="6E4E6DCF">
      <w:pPr>
        <w:pStyle w:val="16"/>
        <w:numPr>
          <w:ilvl w:val="0"/>
          <w:numId w:val="2"/>
        </w:numPr>
        <w:spacing w:after="120" w:line="360" w:lineRule="auto"/>
      </w:pPr>
      <w:r>
        <w:rPr>
          <w:rFonts w:ascii="Times New Roman" w:hAnsi="Times New Roman" w:eastAsia="Times New Roman" w:cs="Times New Roman"/>
          <w:sz w:val="24"/>
          <w:szCs w:val="24"/>
        </w:rPr>
        <w:t>Step 5 – Summary Table Construction: A country-level summary table was generated displaying average freshwater withdrawal ratios, water stress categories, and trends over the study period.</w:t>
      </w:r>
    </w:p>
    <w:p w14:paraId="4083667A">
      <w:pPr>
        <w:pStyle w:val="4"/>
        <w:spacing w:before="240" w:after="120"/>
      </w:pPr>
      <w:r>
        <w:rPr>
          <w:rFonts w:ascii="Times New Roman" w:hAnsi="Times New Roman" w:eastAsia="Times New Roman" w:cs="Times New Roman"/>
          <w:b/>
          <w:bCs/>
          <w:sz w:val="26"/>
          <w:szCs w:val="26"/>
        </w:rPr>
        <w:t>4.4.4 Interpretation of Results</w:t>
      </w:r>
    </w:p>
    <w:p w14:paraId="267E0D26">
      <w:pPr>
        <w:spacing w:before="0" w:after="160" w:line="360" w:lineRule="auto"/>
        <w:jc w:val="both"/>
      </w:pPr>
      <w:r>
        <w:rPr>
          <w:rFonts w:ascii="Times New Roman" w:hAnsi="Times New Roman" w:eastAsia="Times New Roman" w:cs="Times New Roman"/>
          <w:b w:val="0"/>
          <w:bCs w:val="0"/>
          <w:i w:val="0"/>
          <w:iCs w:val="0"/>
          <w:sz w:val="24"/>
          <w:szCs w:val="24"/>
        </w:rPr>
        <w:t>The freshwater consumption analysis reveals a deeply concerning pattern of escalating water stress in several regions of the world, with potentially severe long-term implications for food security, economic development, and human welfare. Countries in the arid Middle East and North Africa (MENA) region, particularly Egypt, Kuwait, Libya, Saudi Arabia, and the United Arab Emirates, exhibit the highest freshwater withdrawal ratios in the dataset, with several exceeding 100% of their internal renewable freshwater resources. A ratio exceeding 100% indicates that the country is withdrawing more water than is being replenished by rainfall and runoff on an annual basis, necessarily depleting non-renewable groundwater aquifers (known as fossil aquifers). This mode of water extraction is, by definition, unsustainable in the long run and represents an existential risk for countries whose agriculture and economic development depend on it.</w:t>
      </w:r>
    </w:p>
    <w:p w14:paraId="01FE5E2B">
      <w:pPr>
        <w:spacing w:before="0" w:after="160" w:line="360" w:lineRule="auto"/>
        <w:jc w:val="both"/>
      </w:pPr>
      <w:r>
        <w:rPr>
          <w:rFonts w:ascii="Times New Roman" w:hAnsi="Times New Roman" w:eastAsia="Times New Roman" w:cs="Times New Roman"/>
          <w:b w:val="0"/>
          <w:bCs w:val="0"/>
          <w:i w:val="0"/>
          <w:iCs w:val="0"/>
          <w:sz w:val="24"/>
          <w:szCs w:val="24"/>
        </w:rPr>
        <w:t>South Asia also emerges as a highly water-stressed region in the analysis. India and Pakistan both show withdrawal ratios in the "High" stress category, driven primarily by the enormous demands of irrigated agriculture in the Indo-Gangetic Plain. Pakistan in particular, whose economy is heavily dependent on irrigation-based agriculture along the Indus River system, faces a compound water challenge: not only are domestic withdrawals extremely high relative to available resources, but the shared transboundary nature of the Indus basin means that water availability is also subject to geopolitical dynamics involving India, China, and Afghanistan.</w:t>
      </w:r>
    </w:p>
    <w:p w14:paraId="31131AA3">
      <w:pPr>
        <w:spacing w:before="0" w:after="160" w:line="360" w:lineRule="auto"/>
        <w:jc w:val="both"/>
      </w:pPr>
      <w:r>
        <w:rPr>
          <w:rFonts w:ascii="Times New Roman" w:hAnsi="Times New Roman" w:eastAsia="Times New Roman" w:cs="Times New Roman"/>
          <w:b w:val="0"/>
          <w:bCs w:val="0"/>
          <w:i w:val="0"/>
          <w:iCs w:val="0"/>
          <w:sz w:val="24"/>
          <w:szCs w:val="24"/>
        </w:rPr>
        <w:t>In terms of temporal trends, the freshwater analysis reveals a mixed picture. In some countries, particularly those that have invested heavily in water-use efficiency technologies (drip irrigation, water recycling, desalination), there is evidence of moderate improvement in withdrawal ratios over time. Israel is a frequently cited example of this phenomenon – despite being located in an arid climate zone, it has achieved dramatic improvements in agricultural water use efficiency through precision irrigation and has pioneered large-scale seawater desalination. Within the dataset, similar trends of improving water use efficiency can be observed for some East Asian economies, which have implemented rigorous water pricing policies and industrial water recycling mandates.</w:t>
      </w:r>
    </w:p>
    <w:p w14:paraId="091982AB">
      <w:pPr>
        <w:spacing w:before="0" w:after="160" w:line="360" w:lineRule="auto"/>
        <w:jc w:val="both"/>
      </w:pPr>
      <w:r>
        <w:rPr>
          <w:rFonts w:ascii="Times New Roman" w:hAnsi="Times New Roman" w:eastAsia="Times New Roman" w:cs="Times New Roman"/>
          <w:b w:val="0"/>
          <w:bCs w:val="0"/>
          <w:i w:val="0"/>
          <w:iCs w:val="0"/>
          <w:sz w:val="24"/>
          <w:szCs w:val="24"/>
        </w:rPr>
        <w:t>Sub-Saharan African countries, by contrast, generally exhibit very low freshwater withdrawal ratios, reflecting their relatively limited agricultural and industrial water use rather than an abundance of water. The freshwater data for many African countries is also subject to significant data gaps, reflecting limited national water monitoring infrastructure. The absence of data should not be misinterpreted as an absence of water stress; in many Sub-Saharan African contexts, the primary water challenge is not withdrawal intensity but rather the quality of available water and the lack of infrastructure for its safe distribution and treatment.</w:t>
      </w:r>
    </w:p>
    <w:p w14:paraId="423FA5F5"/>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8DD6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8" w:space="0"/>
              <w:left w:val="single" w:color="2E75B6" w:sz="8" w:space="0"/>
              <w:bottom w:val="single" w:color="2E75B6" w:sz="8" w:space="0"/>
              <w:right w:val="single" w:color="2E75B6" w:sz="8" w:space="0"/>
            </w:tcBorders>
            <w:shd w:val="clear" w:color="auto" w:fill="EBF3FB"/>
            <w:tcMar>
              <w:top w:w="400" w:type="dxa"/>
              <w:left w:w="400" w:type="dxa"/>
              <w:bottom w:w="400" w:type="dxa"/>
              <w:right w:w="400" w:type="dxa"/>
            </w:tcMar>
            <w:vAlign w:val="center"/>
          </w:tcPr>
          <w:p w14:paraId="31E9D62C">
            <w:pPr>
              <w:jc w:val="center"/>
            </w:pPr>
            <w:r>
              <w:drawing>
                <wp:inline distT="0" distB="0" distL="114300" distR="114300">
                  <wp:extent cx="4756785" cy="1179195"/>
                  <wp:effectExtent l="0" t="0" r="13335" b="952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3"/>
                          <a:srcRect b="4683"/>
                          <a:stretch>
                            <a:fillRect/>
                          </a:stretch>
                        </pic:blipFill>
                        <pic:spPr>
                          <a:xfrm>
                            <a:off x="0" y="0"/>
                            <a:ext cx="4756785" cy="1179195"/>
                          </a:xfrm>
                          <a:prstGeom prst="rect">
                            <a:avLst/>
                          </a:prstGeom>
                          <a:noFill/>
                          <a:ln>
                            <a:noFill/>
                          </a:ln>
                        </pic:spPr>
                      </pic:pic>
                    </a:graphicData>
                  </a:graphic>
                </wp:inline>
              </w:drawing>
            </w:r>
          </w:p>
        </w:tc>
      </w:tr>
    </w:tbl>
    <w:p w14:paraId="5AED7C14">
      <w:pPr>
        <w:spacing w:before="80" w:after="200"/>
        <w:jc w:val="center"/>
      </w:pPr>
      <w:r>
        <w:rPr>
          <w:rFonts w:ascii="Times New Roman" w:hAnsi="Times New Roman" w:eastAsia="Times New Roman" w:cs="Times New Roman"/>
          <w:b/>
          <w:bCs/>
          <w:i/>
          <w:iCs/>
          <w:sz w:val="22"/>
          <w:szCs w:val="22"/>
        </w:rPr>
        <w:t>Figure 9: Temporal Trend Chart Showing Freshwater Withdrawal as % of Internal Resources by Country</w:t>
      </w:r>
    </w:p>
    <w:p w14:paraId="08923A33"/>
    <w:p w14:paraId="05B4A243">
      <w:pPr>
        <w:spacing w:before="80" w:after="80"/>
        <w:jc w:val="center"/>
      </w:pPr>
      <w:r>
        <w:rPr>
          <w:rFonts w:ascii="Times New Roman" w:hAnsi="Times New Roman" w:eastAsia="Times New Roman" w:cs="Times New Roman"/>
          <w:b/>
          <w:bCs/>
          <w:sz w:val="22"/>
          <w:szCs w:val="22"/>
        </w:rPr>
        <w:t>Table 10: Freshwater Withdrawal Statistics – Country-wise Classification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26A0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67690241">
            <w:pPr>
              <w:jc w:val="center"/>
            </w:pPr>
            <w:r>
              <w:rPr>
                <w:rFonts w:ascii="Times New Roman" w:hAnsi="Times New Roman" w:eastAsia="Times New Roman" w:cs="Times New Roman"/>
                <w:b/>
                <w:bCs/>
                <w:color w:val="FFFFFF"/>
                <w:sz w:val="22"/>
                <w:szCs w:val="22"/>
              </w:rPr>
              <w:t>Country</w:t>
            </w:r>
          </w:p>
        </w:tc>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66A7CEBA">
            <w:pPr>
              <w:jc w:val="center"/>
            </w:pPr>
            <w:r>
              <w:rPr>
                <w:rFonts w:ascii="Times New Roman" w:hAnsi="Times New Roman" w:eastAsia="Times New Roman" w:cs="Times New Roman"/>
                <w:b/>
                <w:bCs/>
                <w:color w:val="FFFFFF"/>
                <w:sz w:val="22"/>
                <w:szCs w:val="22"/>
              </w:rPr>
              <w:t>Avg. Withdrawal (%)</w:t>
            </w:r>
          </w:p>
        </w:tc>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0D515B30">
            <w:pPr>
              <w:jc w:val="center"/>
            </w:pPr>
            <w:r>
              <w:rPr>
                <w:rFonts w:ascii="Times New Roman" w:hAnsi="Times New Roman" w:eastAsia="Times New Roman" w:cs="Times New Roman"/>
                <w:b/>
                <w:bCs/>
                <w:color w:val="FFFFFF"/>
                <w:sz w:val="22"/>
                <w:szCs w:val="22"/>
              </w:rPr>
              <w:t>Water Stress Category</w:t>
            </w:r>
          </w:p>
        </w:tc>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6442A77F">
            <w:pPr>
              <w:jc w:val="center"/>
            </w:pPr>
            <w:r>
              <w:rPr>
                <w:rFonts w:ascii="Times New Roman" w:hAnsi="Times New Roman" w:eastAsia="Times New Roman" w:cs="Times New Roman"/>
                <w:b/>
                <w:bCs/>
                <w:color w:val="FFFFFF"/>
                <w:sz w:val="22"/>
                <w:szCs w:val="22"/>
              </w:rPr>
              <w:t>Primary Demand Sector</w:t>
            </w:r>
          </w:p>
        </w:tc>
        <w:tc>
          <w:tcPr>
            <w:tcW w:w="18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00" w:type="dxa"/>
              <w:bottom w:w="80" w:type="dxa"/>
              <w:right w:w="100" w:type="dxa"/>
            </w:tcMar>
          </w:tcPr>
          <w:p w14:paraId="10A0E28E">
            <w:pPr>
              <w:jc w:val="center"/>
            </w:pPr>
            <w:r>
              <w:rPr>
                <w:rFonts w:ascii="Times New Roman" w:hAnsi="Times New Roman" w:eastAsia="Times New Roman" w:cs="Times New Roman"/>
                <w:b/>
                <w:bCs/>
                <w:color w:val="FFFFFF"/>
                <w:sz w:val="22"/>
                <w:szCs w:val="22"/>
              </w:rPr>
              <w:t>Trend</w:t>
            </w:r>
          </w:p>
        </w:tc>
      </w:tr>
      <w:tr w14:paraId="73F78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78C0D0F9">
            <w:pPr>
              <w:jc w:val="center"/>
            </w:pPr>
            <w:r>
              <w:rPr>
                <w:rFonts w:ascii="Times New Roman" w:hAnsi="Times New Roman" w:eastAsia="Times New Roman" w:cs="Times New Roman"/>
                <w:sz w:val="22"/>
                <w:szCs w:val="22"/>
              </w:rPr>
              <w:t>Kuwait</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422B160">
            <w:pPr>
              <w:jc w:val="center"/>
            </w:pPr>
            <w:r>
              <w:rPr>
                <w:rFonts w:ascii="Times New Roman" w:hAnsi="Times New Roman" w:eastAsia="Times New Roman" w:cs="Times New Roman"/>
                <w:sz w:val="22"/>
                <w:szCs w:val="22"/>
              </w:rPr>
              <w:t>2,247%</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731E7514">
            <w:pPr>
              <w:jc w:val="center"/>
            </w:pPr>
            <w:r>
              <w:rPr>
                <w:rFonts w:ascii="Times New Roman" w:hAnsi="Times New Roman" w:eastAsia="Times New Roman" w:cs="Times New Roman"/>
                <w:sz w:val="22"/>
                <w:szCs w:val="22"/>
              </w:rPr>
              <w:t>Critical</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04EC8DF">
            <w:pPr>
              <w:jc w:val="center"/>
            </w:pPr>
            <w:r>
              <w:rPr>
                <w:rFonts w:ascii="Times New Roman" w:hAnsi="Times New Roman" w:eastAsia="Times New Roman" w:cs="Times New Roman"/>
                <w:sz w:val="22"/>
                <w:szCs w:val="22"/>
              </w:rPr>
              <w:t>Domestic / Industrial</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E1D8752">
            <w:pPr>
              <w:jc w:val="center"/>
            </w:pPr>
            <w:r>
              <w:rPr>
                <w:rFonts w:ascii="Times New Roman" w:hAnsi="Times New Roman" w:eastAsia="Times New Roman" w:cs="Times New Roman"/>
                <w:sz w:val="22"/>
                <w:szCs w:val="22"/>
              </w:rPr>
              <w:t>Worsening</w:t>
            </w:r>
          </w:p>
        </w:tc>
      </w:tr>
      <w:tr w14:paraId="1F2A7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152F349">
            <w:pPr>
              <w:jc w:val="center"/>
            </w:pPr>
            <w:r>
              <w:rPr>
                <w:rFonts w:ascii="Times New Roman" w:hAnsi="Times New Roman" w:eastAsia="Times New Roman" w:cs="Times New Roman"/>
                <w:sz w:val="22"/>
                <w:szCs w:val="22"/>
              </w:rPr>
              <w:t>Egypt</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14B6451">
            <w:pPr>
              <w:jc w:val="center"/>
            </w:pPr>
            <w:r>
              <w:rPr>
                <w:rFonts w:ascii="Times New Roman" w:hAnsi="Times New Roman" w:eastAsia="Times New Roman" w:cs="Times New Roman"/>
                <w:sz w:val="22"/>
                <w:szCs w:val="22"/>
              </w:rPr>
              <w:t>972%</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2EEC0FA">
            <w:pPr>
              <w:jc w:val="center"/>
            </w:pPr>
            <w:r>
              <w:rPr>
                <w:rFonts w:ascii="Times New Roman" w:hAnsi="Times New Roman" w:eastAsia="Times New Roman" w:cs="Times New Roman"/>
                <w:sz w:val="22"/>
                <w:szCs w:val="22"/>
              </w:rPr>
              <w:t>Critical</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99D9846">
            <w:pPr>
              <w:jc w:val="center"/>
            </w:pPr>
            <w:r>
              <w:rPr>
                <w:rFonts w:ascii="Times New Roman" w:hAnsi="Times New Roman" w:eastAsia="Times New Roman" w:cs="Times New Roman"/>
                <w:sz w:val="22"/>
                <w:szCs w:val="22"/>
              </w:rPr>
              <w:t>Agriculture (Irrigation)</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A499FFD">
            <w:pPr>
              <w:jc w:val="center"/>
            </w:pPr>
            <w:r>
              <w:rPr>
                <w:rFonts w:ascii="Times New Roman" w:hAnsi="Times New Roman" w:eastAsia="Times New Roman" w:cs="Times New Roman"/>
                <w:sz w:val="22"/>
                <w:szCs w:val="22"/>
              </w:rPr>
              <w:t>Stable</w:t>
            </w:r>
          </w:p>
        </w:tc>
      </w:tr>
      <w:tr w14:paraId="14160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9732271">
            <w:pPr>
              <w:jc w:val="center"/>
            </w:pPr>
            <w:r>
              <w:rPr>
                <w:rFonts w:ascii="Times New Roman" w:hAnsi="Times New Roman" w:eastAsia="Times New Roman" w:cs="Times New Roman"/>
                <w:sz w:val="22"/>
                <w:szCs w:val="22"/>
              </w:rPr>
              <w:t>Saudi Arabia</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882CEE9">
            <w:pPr>
              <w:jc w:val="center"/>
            </w:pPr>
            <w:r>
              <w:rPr>
                <w:rFonts w:ascii="Times New Roman" w:hAnsi="Times New Roman" w:eastAsia="Times New Roman" w:cs="Times New Roman"/>
                <w:sz w:val="22"/>
                <w:szCs w:val="22"/>
              </w:rPr>
              <w:t>943%</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41C3F0E">
            <w:pPr>
              <w:jc w:val="center"/>
            </w:pPr>
            <w:r>
              <w:rPr>
                <w:rFonts w:ascii="Times New Roman" w:hAnsi="Times New Roman" w:eastAsia="Times New Roman" w:cs="Times New Roman"/>
                <w:sz w:val="22"/>
                <w:szCs w:val="22"/>
              </w:rPr>
              <w:t>Critical</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0C80578">
            <w:pPr>
              <w:jc w:val="center"/>
            </w:pPr>
            <w:r>
              <w:rPr>
                <w:rFonts w:ascii="Times New Roman" w:hAnsi="Times New Roman" w:eastAsia="Times New Roman" w:cs="Times New Roman"/>
                <w:sz w:val="22"/>
                <w:szCs w:val="22"/>
              </w:rPr>
              <w:t>Agriculture / Domestic</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558A5DBC">
            <w:pPr>
              <w:jc w:val="center"/>
            </w:pPr>
            <w:r>
              <w:rPr>
                <w:rFonts w:ascii="Times New Roman" w:hAnsi="Times New Roman" w:eastAsia="Times New Roman" w:cs="Times New Roman"/>
                <w:sz w:val="22"/>
                <w:szCs w:val="22"/>
              </w:rPr>
              <w:t>Slightly improving</w:t>
            </w:r>
          </w:p>
        </w:tc>
      </w:tr>
      <w:tr w14:paraId="2B18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434ACC4">
            <w:pPr>
              <w:jc w:val="center"/>
            </w:pPr>
            <w:r>
              <w:rPr>
                <w:rFonts w:ascii="Times New Roman" w:hAnsi="Times New Roman" w:eastAsia="Times New Roman" w:cs="Times New Roman"/>
                <w:sz w:val="22"/>
                <w:szCs w:val="22"/>
              </w:rPr>
              <w:t>Pakistan</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49B9EC2">
            <w:pPr>
              <w:jc w:val="center"/>
            </w:pPr>
            <w:r>
              <w:rPr>
                <w:rFonts w:ascii="Times New Roman" w:hAnsi="Times New Roman" w:eastAsia="Times New Roman" w:cs="Times New Roman"/>
                <w:sz w:val="22"/>
                <w:szCs w:val="22"/>
              </w:rPr>
              <w:t>74%</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7CD3DED0">
            <w:pPr>
              <w:jc w:val="center"/>
            </w:pPr>
            <w:r>
              <w:rPr>
                <w:rFonts w:ascii="Times New Roman" w:hAnsi="Times New Roman" w:eastAsia="Times New Roman" w:cs="Times New Roman"/>
                <w:sz w:val="22"/>
                <w:szCs w:val="22"/>
              </w:rPr>
              <w:t>High</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02592A54">
            <w:pPr>
              <w:jc w:val="center"/>
            </w:pPr>
            <w:r>
              <w:rPr>
                <w:rFonts w:ascii="Times New Roman" w:hAnsi="Times New Roman" w:eastAsia="Times New Roman" w:cs="Times New Roman"/>
                <w:sz w:val="22"/>
                <w:szCs w:val="22"/>
              </w:rPr>
              <w:t>Agriculture (Indus irrigation)</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68D8266D">
            <w:pPr>
              <w:jc w:val="center"/>
            </w:pPr>
            <w:r>
              <w:rPr>
                <w:rFonts w:ascii="Times New Roman" w:hAnsi="Times New Roman" w:eastAsia="Times New Roman" w:cs="Times New Roman"/>
                <w:sz w:val="22"/>
                <w:szCs w:val="22"/>
              </w:rPr>
              <w:t>Worsening</w:t>
            </w:r>
          </w:p>
        </w:tc>
      </w:tr>
      <w:tr w14:paraId="1EE60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1D79B80">
            <w:pPr>
              <w:jc w:val="center"/>
            </w:pPr>
            <w:r>
              <w:rPr>
                <w:rFonts w:ascii="Times New Roman" w:hAnsi="Times New Roman" w:eastAsia="Times New Roman" w:cs="Times New Roman"/>
                <w:sz w:val="22"/>
                <w:szCs w:val="22"/>
              </w:rPr>
              <w:t>India</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4A0D29BF">
            <w:pPr>
              <w:jc w:val="center"/>
            </w:pPr>
            <w:r>
              <w:rPr>
                <w:rFonts w:ascii="Times New Roman" w:hAnsi="Times New Roman" w:eastAsia="Times New Roman" w:cs="Times New Roman"/>
                <w:sz w:val="22"/>
                <w:szCs w:val="22"/>
              </w:rPr>
              <w:t>51%</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FB55619">
            <w:pPr>
              <w:jc w:val="center"/>
            </w:pPr>
            <w:r>
              <w:rPr>
                <w:rFonts w:ascii="Times New Roman" w:hAnsi="Times New Roman" w:eastAsia="Times New Roman" w:cs="Times New Roman"/>
                <w:sz w:val="22"/>
                <w:szCs w:val="22"/>
              </w:rPr>
              <w:t>High</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6147D4EB">
            <w:pPr>
              <w:jc w:val="center"/>
            </w:pPr>
            <w:r>
              <w:rPr>
                <w:rFonts w:ascii="Times New Roman" w:hAnsi="Times New Roman" w:eastAsia="Times New Roman" w:cs="Times New Roman"/>
                <w:sz w:val="22"/>
                <w:szCs w:val="22"/>
              </w:rPr>
              <w:t>Agriculture</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BF3ED00">
            <w:pPr>
              <w:jc w:val="center"/>
            </w:pPr>
            <w:r>
              <w:rPr>
                <w:rFonts w:ascii="Times New Roman" w:hAnsi="Times New Roman" w:eastAsia="Times New Roman" w:cs="Times New Roman"/>
                <w:sz w:val="22"/>
                <w:szCs w:val="22"/>
              </w:rPr>
              <w:t>Slightly worsening</w:t>
            </w:r>
          </w:p>
        </w:tc>
      </w:tr>
      <w:tr w14:paraId="29D45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CDE62B8">
            <w:pPr>
              <w:jc w:val="center"/>
            </w:pPr>
            <w:r>
              <w:rPr>
                <w:rFonts w:ascii="Times New Roman" w:hAnsi="Times New Roman" w:eastAsia="Times New Roman" w:cs="Times New Roman"/>
                <w:sz w:val="22"/>
                <w:szCs w:val="22"/>
              </w:rPr>
              <w:t>China</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76808DE">
            <w:pPr>
              <w:jc w:val="center"/>
            </w:pPr>
            <w:r>
              <w:rPr>
                <w:rFonts w:ascii="Times New Roman" w:hAnsi="Times New Roman" w:eastAsia="Times New Roman" w:cs="Times New Roman"/>
                <w:sz w:val="22"/>
                <w:szCs w:val="22"/>
              </w:rPr>
              <w:t>22%</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06AC6C0B">
            <w:pPr>
              <w:jc w:val="center"/>
            </w:pPr>
            <w:r>
              <w:rPr>
                <w:rFonts w:ascii="Times New Roman" w:hAnsi="Times New Roman" w:eastAsia="Times New Roman" w:cs="Times New Roman"/>
                <w:sz w:val="22"/>
                <w:szCs w:val="22"/>
              </w:rPr>
              <w:t>Moderate</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A0E3F2E">
            <w:pPr>
              <w:jc w:val="center"/>
            </w:pPr>
            <w:r>
              <w:rPr>
                <w:rFonts w:ascii="Times New Roman" w:hAnsi="Times New Roman" w:eastAsia="Times New Roman" w:cs="Times New Roman"/>
                <w:sz w:val="22"/>
                <w:szCs w:val="22"/>
              </w:rPr>
              <w:t>Agriculture / Industry</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FFFD738">
            <w:pPr>
              <w:jc w:val="center"/>
            </w:pPr>
            <w:r>
              <w:rPr>
                <w:rFonts w:ascii="Times New Roman" w:hAnsi="Times New Roman" w:eastAsia="Times New Roman" w:cs="Times New Roman"/>
                <w:sz w:val="22"/>
                <w:szCs w:val="22"/>
              </w:rPr>
              <w:t>Stable</w:t>
            </w:r>
          </w:p>
        </w:tc>
      </w:tr>
      <w:tr w14:paraId="4B395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537EDB1">
            <w:pPr>
              <w:jc w:val="center"/>
            </w:pPr>
            <w:r>
              <w:rPr>
                <w:rFonts w:ascii="Times New Roman" w:hAnsi="Times New Roman" w:eastAsia="Times New Roman" w:cs="Times New Roman"/>
                <w:sz w:val="22"/>
                <w:szCs w:val="22"/>
              </w:rPr>
              <w:t>United States</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2062435F">
            <w:pPr>
              <w:jc w:val="center"/>
            </w:pPr>
            <w:r>
              <w:rPr>
                <w:rFonts w:ascii="Times New Roman" w:hAnsi="Times New Roman" w:eastAsia="Times New Roman" w:cs="Times New Roman"/>
                <w:sz w:val="22"/>
                <w:szCs w:val="22"/>
              </w:rPr>
              <w:t>17%</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76190FF4">
            <w:pPr>
              <w:jc w:val="center"/>
            </w:pPr>
            <w:r>
              <w:rPr>
                <w:rFonts w:ascii="Times New Roman" w:hAnsi="Times New Roman" w:eastAsia="Times New Roman" w:cs="Times New Roman"/>
                <w:sz w:val="22"/>
                <w:szCs w:val="22"/>
              </w:rPr>
              <w:t>Moderate</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0FE756D4">
            <w:pPr>
              <w:jc w:val="center"/>
            </w:pPr>
            <w:r>
              <w:rPr>
                <w:rFonts w:ascii="Times New Roman" w:hAnsi="Times New Roman" w:eastAsia="Times New Roman" w:cs="Times New Roman"/>
                <w:sz w:val="22"/>
                <w:szCs w:val="22"/>
              </w:rPr>
              <w:t>Agriculture / Thermoelectric</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4BC5D0D">
            <w:pPr>
              <w:jc w:val="center"/>
            </w:pPr>
            <w:r>
              <w:rPr>
                <w:rFonts w:ascii="Times New Roman" w:hAnsi="Times New Roman" w:eastAsia="Times New Roman" w:cs="Times New Roman"/>
                <w:sz w:val="22"/>
                <w:szCs w:val="22"/>
              </w:rPr>
              <w:t>Improving</w:t>
            </w:r>
          </w:p>
        </w:tc>
      </w:tr>
      <w:tr w14:paraId="76BA6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68B06715">
            <w:pPr>
              <w:jc w:val="center"/>
            </w:pPr>
            <w:r>
              <w:rPr>
                <w:rFonts w:ascii="Times New Roman" w:hAnsi="Times New Roman" w:eastAsia="Times New Roman" w:cs="Times New Roman"/>
                <w:sz w:val="22"/>
                <w:szCs w:val="22"/>
              </w:rPr>
              <w:t>Germany</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4C180E4F">
            <w:pPr>
              <w:jc w:val="center"/>
            </w:pPr>
            <w:r>
              <w:rPr>
                <w:rFonts w:ascii="Times New Roman" w:hAnsi="Times New Roman" w:eastAsia="Times New Roman" w:cs="Times New Roman"/>
                <w:sz w:val="22"/>
                <w:szCs w:val="22"/>
              </w:rPr>
              <w:t>19%</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54000CF1">
            <w:pPr>
              <w:jc w:val="center"/>
            </w:pPr>
            <w:r>
              <w:rPr>
                <w:rFonts w:ascii="Times New Roman" w:hAnsi="Times New Roman" w:eastAsia="Times New Roman" w:cs="Times New Roman"/>
                <w:sz w:val="22"/>
                <w:szCs w:val="22"/>
              </w:rPr>
              <w:t>Moderate</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60A57296">
            <w:pPr>
              <w:jc w:val="center"/>
            </w:pPr>
            <w:r>
              <w:rPr>
                <w:rFonts w:ascii="Times New Roman" w:hAnsi="Times New Roman" w:eastAsia="Times New Roman" w:cs="Times New Roman"/>
                <w:sz w:val="22"/>
                <w:szCs w:val="22"/>
              </w:rPr>
              <w:t>Industry / Thermoelectric</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3C5AFF3">
            <w:pPr>
              <w:jc w:val="center"/>
            </w:pPr>
            <w:r>
              <w:rPr>
                <w:rFonts w:ascii="Times New Roman" w:hAnsi="Times New Roman" w:eastAsia="Times New Roman" w:cs="Times New Roman"/>
                <w:sz w:val="22"/>
                <w:szCs w:val="22"/>
              </w:rPr>
              <w:t>Improving</w:t>
            </w:r>
          </w:p>
        </w:tc>
      </w:tr>
      <w:tr w14:paraId="5C403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CD1634F">
            <w:pPr>
              <w:jc w:val="center"/>
            </w:pPr>
            <w:r>
              <w:rPr>
                <w:rFonts w:ascii="Times New Roman" w:hAnsi="Times New Roman" w:eastAsia="Times New Roman" w:cs="Times New Roman"/>
                <w:sz w:val="22"/>
                <w:szCs w:val="22"/>
              </w:rPr>
              <w:t>Brazil</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2A9BC33">
            <w:pPr>
              <w:jc w:val="center"/>
            </w:pPr>
            <w:r>
              <w:rPr>
                <w:rFonts w:ascii="Times New Roman" w:hAnsi="Times New Roman" w:eastAsia="Times New Roman" w:cs="Times New Roman"/>
                <w:sz w:val="22"/>
                <w:szCs w:val="22"/>
              </w:rPr>
              <w:t>1.2%</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13F0E186">
            <w:pPr>
              <w:jc w:val="center"/>
            </w:pPr>
            <w:r>
              <w:rPr>
                <w:rFonts w:ascii="Times New Roman" w:hAnsi="Times New Roman" w:eastAsia="Times New Roman" w:cs="Times New Roman"/>
                <w:sz w:val="22"/>
                <w:szCs w:val="22"/>
              </w:rPr>
              <w:t>Low</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4637BBE">
            <w:pPr>
              <w:jc w:val="center"/>
            </w:pPr>
            <w:r>
              <w:rPr>
                <w:rFonts w:ascii="Times New Roman" w:hAnsi="Times New Roman" w:eastAsia="Times New Roman" w:cs="Times New Roman"/>
                <w:sz w:val="22"/>
                <w:szCs w:val="22"/>
              </w:rPr>
              <w:t>Agriculture</w:t>
            </w:r>
          </w:p>
        </w:tc>
        <w:tc>
          <w:tcPr>
            <w:tcW w:w="180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00" w:type="dxa"/>
              <w:bottom w:w="80" w:type="dxa"/>
              <w:right w:w="100" w:type="dxa"/>
            </w:tcMar>
          </w:tcPr>
          <w:p w14:paraId="373E7F27">
            <w:pPr>
              <w:jc w:val="center"/>
            </w:pPr>
            <w:r>
              <w:rPr>
                <w:rFonts w:ascii="Times New Roman" w:hAnsi="Times New Roman" w:eastAsia="Times New Roman" w:cs="Times New Roman"/>
                <w:sz w:val="22"/>
                <w:szCs w:val="22"/>
              </w:rPr>
              <w:t>Stable</w:t>
            </w:r>
          </w:p>
        </w:tc>
      </w:tr>
      <w:tr w14:paraId="0546E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6BBEE99">
            <w:pPr>
              <w:jc w:val="center"/>
            </w:pPr>
            <w:r>
              <w:rPr>
                <w:rFonts w:ascii="Times New Roman" w:hAnsi="Times New Roman" w:eastAsia="Times New Roman" w:cs="Times New Roman"/>
                <w:sz w:val="22"/>
                <w:szCs w:val="22"/>
              </w:rPr>
              <w:t>Canada</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7F0BC7D">
            <w:pPr>
              <w:jc w:val="center"/>
            </w:pPr>
            <w:r>
              <w:rPr>
                <w:rFonts w:ascii="Times New Roman" w:hAnsi="Times New Roman" w:eastAsia="Times New Roman" w:cs="Times New Roman"/>
                <w:sz w:val="22"/>
                <w:szCs w:val="22"/>
              </w:rPr>
              <w:t>1.6%</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21B4A12C">
            <w:pPr>
              <w:jc w:val="center"/>
            </w:pPr>
            <w:r>
              <w:rPr>
                <w:rFonts w:ascii="Times New Roman" w:hAnsi="Times New Roman" w:eastAsia="Times New Roman" w:cs="Times New Roman"/>
                <w:sz w:val="22"/>
                <w:szCs w:val="22"/>
              </w:rPr>
              <w:t>Low</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160B299D">
            <w:pPr>
              <w:jc w:val="center"/>
            </w:pPr>
            <w:r>
              <w:rPr>
                <w:rFonts w:ascii="Times New Roman" w:hAnsi="Times New Roman" w:eastAsia="Times New Roman" w:cs="Times New Roman"/>
                <w:sz w:val="22"/>
                <w:szCs w:val="22"/>
              </w:rPr>
              <w:t>Industry / Thermoelectric</w:t>
            </w:r>
          </w:p>
        </w:tc>
        <w:tc>
          <w:tcPr>
            <w:tcW w:w="180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14:paraId="349F80B8">
            <w:pPr>
              <w:jc w:val="center"/>
            </w:pPr>
            <w:r>
              <w:rPr>
                <w:rFonts w:ascii="Times New Roman" w:hAnsi="Times New Roman" w:eastAsia="Times New Roman" w:cs="Times New Roman"/>
                <w:sz w:val="22"/>
                <w:szCs w:val="22"/>
              </w:rPr>
              <w:t>Stable</w:t>
            </w:r>
          </w:p>
        </w:tc>
      </w:tr>
    </w:tbl>
    <w:p w14:paraId="28FD83AF">
      <w:pPr>
        <w:pStyle w:val="4"/>
        <w:spacing w:before="240" w:after="120"/>
      </w:pPr>
      <w:r>
        <w:rPr>
          <w:rFonts w:ascii="Times New Roman" w:hAnsi="Times New Roman" w:eastAsia="Times New Roman" w:cs="Times New Roman"/>
          <w:b/>
          <w:bCs/>
          <w:sz w:val="26"/>
          <w:szCs w:val="26"/>
        </w:rPr>
        <w:t>4.4.5 Visualization Explanation</w:t>
      </w:r>
    </w:p>
    <w:p w14:paraId="17F7B1F3">
      <w:pPr>
        <w:spacing w:before="0" w:after="160" w:line="360" w:lineRule="auto"/>
        <w:jc w:val="both"/>
      </w:pPr>
      <w:r>
        <w:rPr>
          <w:rFonts w:ascii="Times New Roman" w:hAnsi="Times New Roman" w:eastAsia="Times New Roman" w:cs="Times New Roman"/>
          <w:b w:val="0"/>
          <w:bCs w:val="0"/>
          <w:i w:val="0"/>
          <w:iCs w:val="0"/>
          <w:sz w:val="24"/>
          <w:szCs w:val="24"/>
        </w:rPr>
        <w:t>The Freshwater KPI card on the dashboard provides an immediate at-a-glance display of the current freshwater withdrawal ratio for the selected country and year, contextualized within the water stress classification framework. When the Country slicer is set to a highly water-stressed country such as Egypt or Saudi Arabia, the card displays a striking value well above 100%, visually flagging the severity of the water situation in those contexts.</w:t>
      </w:r>
    </w:p>
    <w:p w14:paraId="113DBC5C">
      <w:pPr>
        <w:spacing w:before="0" w:after="160" w:line="360" w:lineRule="auto"/>
        <w:jc w:val="both"/>
      </w:pPr>
      <w:r>
        <w:rPr>
          <w:rFonts w:ascii="Times New Roman" w:hAnsi="Times New Roman" w:eastAsia="Times New Roman" w:cs="Times New Roman"/>
          <w:b w:val="0"/>
          <w:bCs w:val="0"/>
          <w:i w:val="0"/>
          <w:iCs w:val="0"/>
          <w:sz w:val="24"/>
          <w:szCs w:val="24"/>
        </w:rPr>
        <w:t>The multi-indicator line chart, when configured to display Freshwater as one of the active indicator series, allows for direct visual comparison of freshwater withdrawal trends with energy and CO₂ trends over the same time horizon. This cross-indicator visualization is particularly valuable for identifying whether resource use efficiency improvements are occurring uniformly across all environmental dimensions or are concentrated in particular sectors.</w:t>
      </w:r>
    </w:p>
    <w:p w14:paraId="58EA400F">
      <w:pPr>
        <w:pStyle w:val="3"/>
        <w:spacing w:before="280" w:after="160"/>
      </w:pPr>
      <w:r>
        <w:rPr>
          <w:rFonts w:ascii="Times New Roman" w:hAnsi="Times New Roman" w:eastAsia="Times New Roman" w:cs="Times New Roman"/>
          <w:b/>
          <w:bCs/>
          <w:sz w:val="28"/>
          <w:szCs w:val="28"/>
        </w:rPr>
        <w:t>4.5 Objective 5 – Composite Global Dashboard Insights</w:t>
      </w:r>
    </w:p>
    <w:p w14:paraId="0137BA48">
      <w:pPr>
        <w:pStyle w:val="4"/>
        <w:spacing w:before="240" w:after="120"/>
      </w:pPr>
      <w:r>
        <w:rPr>
          <w:rFonts w:ascii="Times New Roman" w:hAnsi="Times New Roman" w:eastAsia="Times New Roman" w:cs="Times New Roman"/>
          <w:b/>
          <w:bCs/>
          <w:sz w:val="26"/>
          <w:szCs w:val="26"/>
        </w:rPr>
        <w:t>4.5.1 General Description</w:t>
      </w:r>
    </w:p>
    <w:p w14:paraId="2C800EB6">
      <w:pPr>
        <w:spacing w:before="0" w:after="160" w:line="360" w:lineRule="auto"/>
        <w:jc w:val="both"/>
      </w:pPr>
      <w:r>
        <w:rPr>
          <w:rFonts w:ascii="Times New Roman" w:hAnsi="Times New Roman" w:eastAsia="Times New Roman" w:cs="Times New Roman"/>
          <w:b w:val="0"/>
          <w:bCs w:val="0"/>
          <w:i w:val="0"/>
          <w:iCs w:val="0"/>
          <w:sz w:val="24"/>
          <w:szCs w:val="24"/>
        </w:rPr>
        <w:t>The fifth and final analytical objective of this project is integrative in nature, synthesizing the findings from the four preceding domain-specific analyses into a holistic, cross-indicator framework for understanding global economic and environmental development patterns. The composite dashboard developed in Power BI serves as the primary instrument for this integrative analysis, bringing together all key visualizations – KPI cards, line charts, donut chart, geographic map, and slicer panel – onto a single interactive canvas that enables users to explore multi-dimensional relationships through dynamic filtering and drill-through navigation.</w:t>
      </w:r>
    </w:p>
    <w:p w14:paraId="6C5895E1">
      <w:pPr>
        <w:spacing w:before="0" w:after="160" w:line="360" w:lineRule="auto"/>
        <w:jc w:val="both"/>
      </w:pPr>
      <w:r>
        <w:rPr>
          <w:rFonts w:ascii="Times New Roman" w:hAnsi="Times New Roman" w:eastAsia="Times New Roman" w:cs="Times New Roman"/>
          <w:b w:val="0"/>
          <w:bCs w:val="0"/>
          <w:i w:val="0"/>
          <w:iCs w:val="0"/>
          <w:sz w:val="24"/>
          <w:szCs w:val="24"/>
        </w:rPr>
        <w:t>The composite analysis focuses on identifying and articulating the key structural patterns, inter-variable relationships, and temporal dynamics that emerge when all five indicator domains are considered together. This holistic perspective is essential for understanding the complex feedback loops and trade-offs that characterize real-world development processes: for instance, the observation that GDP growth tends to increase energy use and CO₂ emissions in the short run but may eventually support transitions to cleaner energy as income rises; or the insight that high population growth rates may constrain per capita improvements in living standards even when absolute GDP growth rates are high.</w:t>
      </w:r>
    </w:p>
    <w:p w14:paraId="53C677D5">
      <w:pPr>
        <w:pStyle w:val="4"/>
        <w:spacing w:before="240" w:after="120"/>
      </w:pPr>
      <w:r>
        <w:rPr>
          <w:rFonts w:ascii="Times New Roman" w:hAnsi="Times New Roman" w:eastAsia="Times New Roman" w:cs="Times New Roman"/>
          <w:b/>
          <w:bCs/>
          <w:sz w:val="26"/>
          <w:szCs w:val="26"/>
        </w:rPr>
        <w:t>4.5.2 Specific Requirements</w:t>
      </w:r>
    </w:p>
    <w:p w14:paraId="2AB1C688">
      <w:pPr>
        <w:pStyle w:val="16"/>
        <w:numPr>
          <w:ilvl w:val="0"/>
          <w:numId w:val="1"/>
        </w:numPr>
        <w:spacing w:after="120" w:line="360" w:lineRule="auto"/>
      </w:pPr>
      <w:r>
        <w:rPr>
          <w:rFonts w:ascii="Times New Roman" w:hAnsi="Times New Roman" w:eastAsia="Times New Roman" w:cs="Times New Roman"/>
          <w:sz w:val="24"/>
          <w:szCs w:val="24"/>
        </w:rPr>
        <w:t>Demonstration of the interactive capabilities of the composite dashboard, including cross-filtering between visuals and slicer-driven data exploration.</w:t>
      </w:r>
    </w:p>
    <w:p w14:paraId="34CBF0D9">
      <w:pPr>
        <w:pStyle w:val="16"/>
        <w:numPr>
          <w:ilvl w:val="0"/>
          <w:numId w:val="1"/>
        </w:numPr>
        <w:spacing w:after="120" w:line="360" w:lineRule="auto"/>
      </w:pPr>
      <w:r>
        <w:rPr>
          <w:rFonts w:ascii="Times New Roman" w:hAnsi="Times New Roman" w:eastAsia="Times New Roman" w:cs="Times New Roman"/>
          <w:sz w:val="24"/>
          <w:szCs w:val="24"/>
        </w:rPr>
        <w:t>Identification of at least five cross-indicator insights that emerge from examining the data holistically rather than through single-indicator lenses.</w:t>
      </w:r>
    </w:p>
    <w:p w14:paraId="26A85C9D">
      <w:pPr>
        <w:pStyle w:val="16"/>
        <w:numPr>
          <w:ilvl w:val="0"/>
          <w:numId w:val="1"/>
        </w:numPr>
        <w:spacing w:after="120" w:line="360" w:lineRule="auto"/>
      </w:pPr>
      <w:r>
        <w:rPr>
          <w:rFonts w:ascii="Times New Roman" w:hAnsi="Times New Roman" w:eastAsia="Times New Roman" w:cs="Times New Roman"/>
          <w:sz w:val="24"/>
          <w:szCs w:val="24"/>
        </w:rPr>
        <w:t>Analysis of how the dashboard's KPI card cluster (Energy Usage, Carbon Emission, Population, Water Expenditure, GDP) provides a comprehensive scorecard of national development performance.</w:t>
      </w:r>
    </w:p>
    <w:p w14:paraId="25B7438C">
      <w:pPr>
        <w:pStyle w:val="16"/>
        <w:numPr>
          <w:ilvl w:val="0"/>
          <w:numId w:val="1"/>
        </w:numPr>
        <w:spacing w:after="120" w:line="360" w:lineRule="auto"/>
      </w:pPr>
      <w:r>
        <w:rPr>
          <w:rFonts w:ascii="Times New Roman" w:hAnsi="Times New Roman" w:eastAsia="Times New Roman" w:cs="Times New Roman"/>
          <w:sz w:val="24"/>
          <w:szCs w:val="24"/>
        </w:rPr>
        <w:t>Assessment of the geographic map visual's contribution to spatial pattern recognition in the global dataset.</w:t>
      </w:r>
    </w:p>
    <w:p w14:paraId="7281C14F">
      <w:pPr>
        <w:pStyle w:val="16"/>
        <w:numPr>
          <w:ilvl w:val="0"/>
          <w:numId w:val="1"/>
        </w:numPr>
        <w:spacing w:after="120" w:line="360" w:lineRule="auto"/>
      </w:pPr>
      <w:r>
        <w:rPr>
          <w:rFonts w:ascii="Times New Roman" w:hAnsi="Times New Roman" w:eastAsia="Times New Roman" w:cs="Times New Roman"/>
          <w:sz w:val="24"/>
          <w:szCs w:val="24"/>
        </w:rPr>
        <w:t>Discussion of the implications of the composite findings for sustainable development policy and practice.</w:t>
      </w:r>
    </w:p>
    <w:p w14:paraId="1CBA12E3">
      <w:pPr>
        <w:pStyle w:val="4"/>
        <w:spacing w:before="240" w:after="120"/>
      </w:pPr>
      <w:r>
        <w:rPr>
          <w:rFonts w:ascii="Times New Roman" w:hAnsi="Times New Roman" w:eastAsia="Times New Roman" w:cs="Times New Roman"/>
          <w:b/>
          <w:bCs/>
          <w:sz w:val="26"/>
          <w:szCs w:val="26"/>
        </w:rPr>
        <w:t>4.5.3 Step-by-Step Analysis</w:t>
      </w:r>
    </w:p>
    <w:p w14:paraId="7DE21365">
      <w:pPr>
        <w:pStyle w:val="16"/>
        <w:numPr>
          <w:ilvl w:val="0"/>
          <w:numId w:val="2"/>
        </w:numPr>
        <w:spacing w:after="120" w:line="360" w:lineRule="auto"/>
      </w:pPr>
      <w:r>
        <w:rPr>
          <w:rFonts w:ascii="Times New Roman" w:hAnsi="Times New Roman" w:eastAsia="Times New Roman" w:cs="Times New Roman"/>
          <w:sz w:val="24"/>
          <w:szCs w:val="24"/>
        </w:rPr>
        <w:t>Step 1 – Dashboard Overview: The complete dashboard was examined in its default state (no slicers applied, all countries and years visible) to identify the global aggregate patterns that emerge when the full dataset is displayed.</w:t>
      </w:r>
    </w:p>
    <w:p w14:paraId="6D8B48A9">
      <w:pPr>
        <w:pStyle w:val="16"/>
        <w:numPr>
          <w:ilvl w:val="0"/>
          <w:numId w:val="2"/>
        </w:numPr>
        <w:spacing w:after="120" w:line="360" w:lineRule="auto"/>
      </w:pPr>
      <w:r>
        <w:rPr>
          <w:rFonts w:ascii="Times New Roman" w:hAnsi="Times New Roman" w:eastAsia="Times New Roman" w:cs="Times New Roman"/>
          <w:sz w:val="24"/>
          <w:szCs w:val="24"/>
        </w:rPr>
        <w:t>Step 2 – Country-Level Deep Dives: Specific country profiles were examined by applying the Country slicer to individual nations of interest, enabling a detailed view of how all five indicators have co-evolved for each country over time.</w:t>
      </w:r>
    </w:p>
    <w:p w14:paraId="71D2408D">
      <w:pPr>
        <w:pStyle w:val="16"/>
        <w:numPr>
          <w:ilvl w:val="0"/>
          <w:numId w:val="2"/>
        </w:numPr>
        <w:spacing w:after="120" w:line="360" w:lineRule="auto"/>
      </w:pPr>
      <w:r>
        <w:rPr>
          <w:rFonts w:ascii="Times New Roman" w:hAnsi="Times New Roman" w:eastAsia="Times New Roman" w:cs="Times New Roman"/>
          <w:sz w:val="24"/>
          <w:szCs w:val="24"/>
        </w:rPr>
        <w:t>Step 3 – Cross-Visual Filter Interaction: The cross-filter interaction functionality of Power BI was utilized to examine how selecting specific data points in one visual (e.g., clicking on China in the GDP line chart) automatically filters all other visuals to display China-specific data, facilitating rapid multi-dimensional profiling.</w:t>
      </w:r>
    </w:p>
    <w:p w14:paraId="14BFF6E0">
      <w:pPr>
        <w:pStyle w:val="16"/>
        <w:numPr>
          <w:ilvl w:val="0"/>
          <w:numId w:val="2"/>
        </w:numPr>
        <w:spacing w:after="120" w:line="360" w:lineRule="auto"/>
      </w:pPr>
      <w:r>
        <w:rPr>
          <w:rFonts w:ascii="Times New Roman" w:hAnsi="Times New Roman" w:eastAsia="Times New Roman" w:cs="Times New Roman"/>
          <w:sz w:val="24"/>
          <w:szCs w:val="24"/>
        </w:rPr>
        <w:t>Step 4 – Comparative Country Analysis: The Country slicer was used to select pairs of contrasting countries (e.g., United States vs. India; China vs. Germany) to highlight differences in development pathways and resource use efficiency.</w:t>
      </w:r>
    </w:p>
    <w:p w14:paraId="0A5627E7">
      <w:pPr>
        <w:pStyle w:val="16"/>
        <w:numPr>
          <w:ilvl w:val="0"/>
          <w:numId w:val="2"/>
        </w:numPr>
        <w:spacing w:after="120" w:line="360" w:lineRule="auto"/>
      </w:pPr>
      <w:r>
        <w:rPr>
          <w:rFonts w:ascii="Times New Roman" w:hAnsi="Times New Roman" w:eastAsia="Times New Roman" w:cs="Times New Roman"/>
          <w:sz w:val="24"/>
          <w:szCs w:val="24"/>
        </w:rPr>
        <w:t>Step 5 – Temporal Filtering: The Year slicer was used to examine specific sub-periods of interest (e.g., the 2008–2010 Global Financial Crisis period; the 2015–2020 post-Paris Agreement period) to assess how the financial and political environment influenced indicator trajectories.</w:t>
      </w:r>
    </w:p>
    <w:p w14:paraId="5AB89788">
      <w:pPr>
        <w:pStyle w:val="4"/>
        <w:spacing w:before="240" w:after="120"/>
      </w:pPr>
      <w:r>
        <w:rPr>
          <w:rFonts w:ascii="Times New Roman" w:hAnsi="Times New Roman" w:eastAsia="Times New Roman" w:cs="Times New Roman"/>
          <w:b/>
          <w:bCs/>
          <w:sz w:val="26"/>
          <w:szCs w:val="26"/>
        </w:rPr>
        <w:t>4.5.4 Interpretation of Results</w:t>
      </w:r>
    </w:p>
    <w:p w14:paraId="57B996A2">
      <w:pPr>
        <w:spacing w:before="0" w:after="160" w:line="360" w:lineRule="auto"/>
        <w:jc w:val="both"/>
      </w:pPr>
      <w:r>
        <w:rPr>
          <w:rFonts w:ascii="Times New Roman" w:hAnsi="Times New Roman" w:eastAsia="Times New Roman" w:cs="Times New Roman"/>
          <w:b w:val="0"/>
          <w:bCs w:val="0"/>
          <w:i w:val="0"/>
          <w:iCs w:val="0"/>
          <w:sz w:val="24"/>
          <w:szCs w:val="24"/>
        </w:rPr>
        <w:t>The composite dashboard analysis yields several cross-cutting insights that are not readily apparent from single-indicator analyses. The first and perhaps most structurally significant finding concerns the fundamental tension between GDP growth and environmental sustainability that pervades the global dataset. With few exceptions, countries that have achieved rapid GDP growth over the study period have also experienced significant increases in energy consumption and CO₂ emissions, consistent with the theory that economic development in its early and middle stages is inherently energy-intensive. The most vivid illustration of this relationship is China, where a thirty-year period of extraordinary GDP growth has been accompanied by equally extraordinary growth in both energy use and CO₂ emissions.</w:t>
      </w:r>
    </w:p>
    <w:p w14:paraId="76826D4C">
      <w:pPr>
        <w:spacing w:before="0" w:after="160" w:line="360" w:lineRule="auto"/>
        <w:jc w:val="both"/>
      </w:pPr>
      <w:r>
        <w:rPr>
          <w:rFonts w:ascii="Times New Roman" w:hAnsi="Times New Roman" w:eastAsia="Times New Roman" w:cs="Times New Roman"/>
          <w:b w:val="0"/>
          <w:bCs w:val="0"/>
          <w:i w:val="0"/>
          <w:iCs w:val="0"/>
          <w:sz w:val="24"/>
          <w:szCs w:val="24"/>
        </w:rPr>
        <w:t>The second major cross-cutting finding concerns the difference between relative and absolute improvements in environmental performance. While some high-income countries have achieved relative decoupling (reducing CO₂ and energy intensity per unit of GDP), few have achieved the absolute decoupling (reducing total emissions and energy use) required to bring global greenhouse gas concentrations onto a trajectory consistent with the Paris Agreement's 1.5°C temperature target. The composite dashboard makes this distinction immediately apparent: even for countries where CO₂ per unit of GDP is declining, the absolute aggregate CO₂ values on the dashboard may still be increasing, reflecting the dominance of scale effects over efficiency improvements.</w:t>
      </w:r>
    </w:p>
    <w:p w14:paraId="2869C8EF">
      <w:pPr>
        <w:spacing w:before="0" w:after="160" w:line="360" w:lineRule="auto"/>
        <w:jc w:val="both"/>
      </w:pPr>
      <w:r>
        <w:rPr>
          <w:rFonts w:ascii="Times New Roman" w:hAnsi="Times New Roman" w:eastAsia="Times New Roman" w:cs="Times New Roman"/>
          <w:b w:val="0"/>
          <w:bCs w:val="0"/>
          <w:i w:val="0"/>
          <w:iCs w:val="0"/>
          <w:sz w:val="24"/>
          <w:szCs w:val="24"/>
        </w:rPr>
        <w:t>The third insight concerns the compound nature of resource scarcity. Countries that face high water stress (such as India and Pakistan) tend also to face rapid population growth, which increases absolute demands on already-strained water systems. Simultaneously, these countries are in the process of rapid economic development, which typically increases per capita energy use and CO₂ emissions. The composite dashboard enables the simultaneous visualization of these multiple pressures, making it possible to identify countries that face a convergence of demographic, economic, and environmental challenges that could constrain their long-term development prospects.</w:t>
      </w:r>
    </w:p>
    <w:p w14:paraId="73387FAF">
      <w:pPr>
        <w:spacing w:before="0" w:after="160" w:line="360" w:lineRule="auto"/>
        <w:jc w:val="both"/>
      </w:pPr>
      <w:r>
        <w:rPr>
          <w:rFonts w:ascii="Times New Roman" w:hAnsi="Times New Roman" w:eastAsia="Times New Roman" w:cs="Times New Roman"/>
          <w:b w:val="0"/>
          <w:bCs w:val="0"/>
          <w:i w:val="0"/>
          <w:iCs w:val="0"/>
          <w:sz w:val="24"/>
          <w:szCs w:val="24"/>
        </w:rPr>
        <w:t>The fourth insight relates to the differential impact of the 2008–2009 Global Financial Crisis on different indicator domains. While the GDP series shows a clear negative inflection point for most developed economies during this period, the CO₂ and energy use series show a smaller and more temporary dip, suggesting that environmental performance is somewhat less sensitive to short-term economic fluctuations than GDP itself. This finding has implications for climate policy: it suggests that economic recessions, while temporarily reducing emissions, do not produce the structural changes in energy systems necessary for sustained long-term decarbonization.</w:t>
      </w:r>
    </w:p>
    <w:p w14:paraId="498865ED">
      <w:pPr>
        <w:spacing w:before="0" w:after="160" w:line="360" w:lineRule="auto"/>
        <w:jc w:val="both"/>
      </w:pPr>
      <w:r>
        <w:rPr>
          <w:rFonts w:ascii="Times New Roman" w:hAnsi="Times New Roman" w:eastAsia="Times New Roman" w:cs="Times New Roman"/>
          <w:b w:val="0"/>
          <w:bCs w:val="0"/>
          <w:i w:val="0"/>
          <w:iCs w:val="0"/>
          <w:sz w:val="24"/>
          <w:szCs w:val="24"/>
        </w:rPr>
        <w:t>The fifth insight concerns the role of the geographic map visual in revealing spatial clustering patterns in the data. When the map is displayed with country-level GDP data, it immediately reveals the familiar geographic pattern of global economic development: a concentration of high-income, high-GDP economies in North America, Western Europe, and Northeast Asia, surrounded by lower-income economies in South and Southeast Asia, Sub-Saharan Africa, and parts of Latin America. This spatial pattern is not merely descriptive but reflects underlying structural factors – including historical colonial legacies, geographic access to markets, endowments of natural resources, and quality of governance institutions – that continue to shape global economic inequality.</w:t>
      </w:r>
    </w:p>
    <w:p w14:paraId="38D676A9">
      <w:pPr>
        <w:pStyle w:val="4"/>
        <w:spacing w:before="240" w:after="120"/>
      </w:pPr>
      <w:r>
        <w:rPr>
          <w:rFonts w:ascii="Times New Roman" w:hAnsi="Times New Roman" w:eastAsia="Times New Roman" w:cs="Times New Roman"/>
          <w:b/>
          <w:bCs/>
          <w:sz w:val="26"/>
          <w:szCs w:val="26"/>
        </w:rPr>
        <w:t>4.5.5 Visualization Explanation</w:t>
      </w:r>
    </w:p>
    <w:p w14:paraId="7589B720">
      <w:pPr>
        <w:spacing w:before="0" w:after="160" w:line="360" w:lineRule="auto"/>
        <w:jc w:val="both"/>
      </w:pPr>
      <w:r>
        <w:rPr>
          <w:rFonts w:ascii="Times New Roman" w:hAnsi="Times New Roman" w:eastAsia="Times New Roman" w:cs="Times New Roman"/>
          <w:b w:val="0"/>
          <w:bCs w:val="0"/>
          <w:i w:val="0"/>
          <w:iCs w:val="0"/>
          <w:sz w:val="24"/>
          <w:szCs w:val="24"/>
        </w:rPr>
        <w:t>The composite dashboard brings together all six types of visual elements deployed in this project – slicer panels, KPI cards, line charts, donut chart, geographic map, and text annotation – onto a single, coherently designed report page. The visual layout follows established principles of dashboard design, with high-level summary metrics (KPI cards) positioned prominently at the top of the canvas for immediate at-a-glance comprehension, detailed trend charts occupying the central area of the canvas for in-depth exploration, the geographic map providing spatial context in the lower-right quadrant, and the slicer panel conveniently positioned on the left for easy access and interaction.</w:t>
      </w:r>
    </w:p>
    <w:p w14:paraId="737EEB9B">
      <w:pPr>
        <w:spacing w:before="0" w:after="160" w:line="360" w:lineRule="auto"/>
        <w:jc w:val="both"/>
      </w:pPr>
      <w:r>
        <w:rPr>
          <w:rFonts w:ascii="Times New Roman" w:hAnsi="Times New Roman" w:eastAsia="Times New Roman" w:cs="Times New Roman"/>
          <w:b w:val="0"/>
          <w:bCs w:val="0"/>
          <w:i w:val="0"/>
          <w:iCs w:val="0"/>
          <w:sz w:val="24"/>
          <w:szCs w:val="24"/>
        </w:rPr>
        <w:t>The background of the dashboard features a professional abstract blue technology design, contributing to the visual coherence of the report and distinguishing it from generic default Power BI layouts. The colour scheme employed throughout the dashboard is consistent and purposeful: blue tones are used for GDP and economic metrics, orange and red tones for environmental impact metrics (CO₂ and energy), and green tones for resource availability metrics (freshwater). This colour-coded system enables users to immediately categorize the type of information being displayed without reading individual chart titles.</w:t>
      </w:r>
    </w:p>
    <w:p w14:paraId="119F525A"/>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64"/>
      </w:tblGrid>
      <w:tr w14:paraId="40352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8" w:space="0"/>
              <w:left w:val="single" w:color="2E75B6" w:sz="8" w:space="0"/>
              <w:bottom w:val="single" w:color="2E75B6" w:sz="8" w:space="0"/>
              <w:right w:val="single" w:color="2E75B6" w:sz="8" w:space="0"/>
            </w:tcBorders>
            <w:shd w:val="clear" w:color="auto" w:fill="EBF3FB"/>
            <w:tcMar>
              <w:top w:w="400" w:type="dxa"/>
              <w:left w:w="400" w:type="dxa"/>
              <w:bottom w:w="400" w:type="dxa"/>
              <w:right w:w="400" w:type="dxa"/>
            </w:tcMar>
            <w:vAlign w:val="center"/>
          </w:tcPr>
          <w:p w14:paraId="3E771644">
            <w:pPr>
              <w:jc w:val="center"/>
            </w:pPr>
            <w:r>
              <w:drawing>
                <wp:inline distT="0" distB="0" distL="114300" distR="114300">
                  <wp:extent cx="5495925" cy="1548765"/>
                  <wp:effectExtent l="0" t="0" r="5715" b="571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4"/>
                          <a:stretch>
                            <a:fillRect/>
                          </a:stretch>
                        </pic:blipFill>
                        <pic:spPr>
                          <a:xfrm>
                            <a:off x="0" y="0"/>
                            <a:ext cx="5495925" cy="1548765"/>
                          </a:xfrm>
                          <a:prstGeom prst="rect">
                            <a:avLst/>
                          </a:prstGeom>
                          <a:noFill/>
                          <a:ln>
                            <a:noFill/>
                          </a:ln>
                        </pic:spPr>
                      </pic:pic>
                    </a:graphicData>
                  </a:graphic>
                </wp:inline>
              </w:drawing>
            </w:r>
          </w:p>
        </w:tc>
      </w:tr>
    </w:tbl>
    <w:p w14:paraId="5FB698FA">
      <w:pPr>
        <w:spacing w:before="80" w:after="200"/>
        <w:jc w:val="center"/>
        <w:rPr>
          <w:rFonts w:hint="default"/>
          <w:lang w:val="en-US"/>
        </w:rPr>
      </w:pPr>
      <w:r>
        <w:rPr>
          <w:rFonts w:ascii="Times New Roman" w:hAnsi="Times New Roman" w:eastAsia="Times New Roman" w:cs="Times New Roman"/>
          <w:b/>
          <w:bCs/>
          <w:i/>
          <w:iCs/>
          <w:sz w:val="22"/>
          <w:szCs w:val="22"/>
        </w:rPr>
        <w:t xml:space="preserve">Figure 10: Full Composite Power BI Dashboard Showing </w:t>
      </w:r>
      <w:r>
        <w:rPr>
          <w:rFonts w:hint="default" w:cs="Times New Roman"/>
          <w:b/>
          <w:bCs/>
          <w:i/>
          <w:iCs/>
          <w:sz w:val="22"/>
          <w:szCs w:val="22"/>
          <w:lang w:val="en-US"/>
        </w:rPr>
        <w:t>Birth &amp; Death rate comparison</w:t>
      </w:r>
    </w:p>
    <w:p w14:paraId="1A4191CC">
      <w:r>
        <w:br w:type="page"/>
      </w:r>
    </w:p>
    <w:p w14:paraId="1A70BE37">
      <w:pPr>
        <w:pStyle w:val="2"/>
        <w:spacing w:before="320" w:after="200"/>
      </w:pPr>
      <w:r>
        <w:rPr>
          <w:rFonts w:ascii="Times New Roman" w:hAnsi="Times New Roman" w:eastAsia="Times New Roman" w:cs="Times New Roman"/>
          <w:b/>
          <w:bCs/>
          <w:sz w:val="32"/>
          <w:szCs w:val="32"/>
        </w:rPr>
        <w:t>CHAPTER 5: CONCLUSION</w:t>
      </w:r>
    </w:p>
    <w:p w14:paraId="6AC3E297">
      <w:pPr>
        <w:pBdr>
          <w:bottom w:val="single" w:color="2E75B6" w:sz="4" w:space="1"/>
        </w:pBdr>
        <w:spacing w:before="100" w:after="100"/>
      </w:pPr>
    </w:p>
    <w:p w14:paraId="4E998551">
      <w:pPr>
        <w:spacing w:before="0" w:after="160" w:line="360" w:lineRule="auto"/>
        <w:jc w:val="both"/>
      </w:pPr>
      <w:r>
        <w:rPr>
          <w:rFonts w:ascii="Times New Roman" w:hAnsi="Times New Roman" w:eastAsia="Times New Roman" w:cs="Times New Roman"/>
          <w:b w:val="0"/>
          <w:bCs w:val="0"/>
          <w:i w:val="0"/>
          <w:iCs w:val="0"/>
          <w:sz w:val="24"/>
          <w:szCs w:val="24"/>
        </w:rPr>
        <w:t>This project has undertaken a systematic, data-driven investigation of five critical dimensions of global economic and environmental development – Gross Domestic Product, population growth, energy use, carbon dioxide emissions, and freshwater consumption – using the Global Economic Indicators dataset sourced from the World Bank Open Data Platform and analyzed through the lens of Microsoft Power BI’s advanced visualization and analytical capabilities. The study has generated a rich body of empirical findings, visualizations, and interpretations that collectively illuminate the complex, interconnected dynamics of global development over the thirty-year period from 1990 to 2020.</w:t>
      </w:r>
    </w:p>
    <w:p w14:paraId="7873821F">
      <w:pPr>
        <w:spacing w:before="0" w:after="160" w:line="360" w:lineRule="auto"/>
        <w:jc w:val="both"/>
      </w:pPr>
      <w:r>
        <w:rPr>
          <w:rFonts w:ascii="Times New Roman" w:hAnsi="Times New Roman" w:eastAsia="Times New Roman" w:cs="Times New Roman"/>
          <w:b w:val="0"/>
          <w:bCs w:val="0"/>
          <w:i w:val="0"/>
          <w:iCs w:val="0"/>
          <w:sz w:val="24"/>
          <w:szCs w:val="24"/>
        </w:rPr>
        <w:t>Several key findings emerge from the analysis that deserve particular emphasis. First, the extraordinary economic ascent of China and, to a lesser extent, India represents the most significant structural transformation in the global economic order of the past three decades. China’s GDP grew by over 4,000% in nominal terms between 1990 and 2020, and India has established itself as the world’s fifth-largest economy by the end of the study period. These developments reflect the immense productive potential of large, rapidly developing economies when they successfully engage with global trade and investment flows, implement structural economic reforms, and invest in education and infrastructure.</w:t>
      </w:r>
    </w:p>
    <w:p w14:paraId="7DEAB5C0">
      <w:pPr>
        <w:spacing w:before="0" w:after="160" w:line="360" w:lineRule="auto"/>
        <w:jc w:val="both"/>
      </w:pPr>
      <w:r>
        <w:rPr>
          <w:rFonts w:ascii="Times New Roman" w:hAnsi="Times New Roman" w:eastAsia="Times New Roman" w:cs="Times New Roman"/>
          <w:b w:val="0"/>
          <w:bCs w:val="0"/>
          <w:i w:val="0"/>
          <w:iCs w:val="0"/>
          <w:sz w:val="24"/>
          <w:szCs w:val="24"/>
        </w:rPr>
        <w:t>Second, the analysis confirms the existence of a strong positive correlation between GDP growth and environmental resource use in the early-to-middle stages of economic development, consistent with the classical view of the Environmental Kuznets Curve. Countries that have achieved the highest GDP growth rates in the dataset have also, in general, experienced the largest absolute increases in energy consumption and CO₂ emissions. This finding underscores the imperative of ensuring that future economic development, particularly in rapidly growing economies, is designed from the outset to decouple productivity gains from carbon emissions through investment in clean energy, energy efficiency, and green industrialization.</w:t>
      </w:r>
    </w:p>
    <w:p w14:paraId="32ADA79C">
      <w:pPr>
        <w:spacing w:before="0" w:after="160" w:line="360" w:lineRule="auto"/>
        <w:jc w:val="both"/>
      </w:pPr>
      <w:r>
        <w:rPr>
          <w:rFonts w:ascii="Times New Roman" w:hAnsi="Times New Roman" w:eastAsia="Times New Roman" w:cs="Times New Roman"/>
          <w:b w:val="0"/>
          <w:bCs w:val="0"/>
          <w:i w:val="0"/>
          <w:iCs w:val="0"/>
          <w:sz w:val="24"/>
          <w:szCs w:val="24"/>
        </w:rPr>
        <w:t>Third, the evidence of relative decoupling in several advanced economies – most notably the United Kingdom, Germany, and the United States – provides grounds for cautious optimism about the long-term feasibility of achieving green growth. These countries have demonstrated that GDP per capita can continue to rise while CO₂ emissions per unit of GDP and per capita absolute emissions decline, driven by structural shifts toward service economies, the penetration of renewable energy, and improvements in energy efficiency. However, the pace and depth of this decoupling remain insufficient relative to the scale of reductions required by the 2015 Paris Agreement.</w:t>
      </w:r>
    </w:p>
    <w:p w14:paraId="70FFFDA4">
      <w:pPr>
        <w:spacing w:before="0" w:after="160" w:line="360" w:lineRule="auto"/>
        <w:jc w:val="both"/>
      </w:pPr>
      <w:r>
        <w:rPr>
          <w:rFonts w:ascii="Times New Roman" w:hAnsi="Times New Roman" w:eastAsia="Times New Roman" w:cs="Times New Roman"/>
          <w:b w:val="0"/>
          <w:bCs w:val="0"/>
          <w:i w:val="0"/>
          <w:iCs w:val="0"/>
          <w:sz w:val="24"/>
          <w:szCs w:val="24"/>
        </w:rPr>
        <w:t>Fourth, the freshwater analysis reveals an escalating crisis of water scarcity in arid and semi-arid regions, particularly the Middle East and North Africa and South Asia, where water withdrawal ratios in many countries exceed their annual replenishment rates by substantial margins. This finding highlights the urgency of integrated water resource management, investment in water-use efficiency technologies, and international cooperation on transboundary water systems.</w:t>
      </w:r>
    </w:p>
    <w:p w14:paraId="1D97CCCA">
      <w:pPr>
        <w:spacing w:before="0" w:after="160" w:line="360" w:lineRule="auto"/>
        <w:jc w:val="both"/>
      </w:pPr>
      <w:r>
        <w:rPr>
          <w:rFonts w:ascii="Times New Roman" w:hAnsi="Times New Roman" w:eastAsia="Times New Roman" w:cs="Times New Roman"/>
          <w:b w:val="0"/>
          <w:bCs w:val="0"/>
          <w:i w:val="0"/>
          <w:iCs w:val="0"/>
          <w:sz w:val="24"/>
          <w:szCs w:val="24"/>
        </w:rPr>
        <w:t>Fifth, the demographic analysis demonstrates the persistence of high fertility rates and rapid population growth in Sub-Saharan Africa, which will require extraordinary investments in education, healthcare, employment creation, and infrastructure over the coming decades to translate a growing youth population into a demographic dividend rather than a social liability.</w:t>
      </w:r>
    </w:p>
    <w:p w14:paraId="7EC856DF">
      <w:pPr>
        <w:spacing w:before="0" w:after="160" w:line="360" w:lineRule="auto"/>
        <w:jc w:val="both"/>
      </w:pPr>
      <w:r>
        <w:rPr>
          <w:rFonts w:ascii="Times New Roman" w:hAnsi="Times New Roman" w:eastAsia="Times New Roman" w:cs="Times New Roman"/>
          <w:b w:val="0"/>
          <w:bCs w:val="0"/>
          <w:i w:val="0"/>
          <w:iCs w:val="0"/>
          <w:sz w:val="24"/>
          <w:szCs w:val="24"/>
        </w:rPr>
        <w:t>From a methodological standpoint, this project has demonstrated the considerable power of Microsoft Power BI as a platform for academic data analysis and communication. The ability to construct sophisticated, interactive, multi-indicator dashboards that respond dynamically to user-defined filter conditions enables a depth and flexibility of data exploration that is simply not achievable through conventional static reporting formats. The integration of slicers, KPI cards, line charts, donut charts, and geographic map visuals within a single coherent dashboard interface provides a compelling illustration of how modern data visualization tools can democratize access to complex analytical insights.</w:t>
      </w:r>
    </w:p>
    <w:p w14:paraId="07D55AD1">
      <w:r>
        <w:br w:type="page"/>
      </w:r>
    </w:p>
    <w:p w14:paraId="56904BB1">
      <w:pPr>
        <w:pStyle w:val="2"/>
        <w:spacing w:before="320" w:after="200"/>
      </w:pPr>
      <w:r>
        <w:rPr>
          <w:rFonts w:ascii="Times New Roman" w:hAnsi="Times New Roman" w:eastAsia="Times New Roman" w:cs="Times New Roman"/>
          <w:b/>
          <w:bCs/>
          <w:sz w:val="32"/>
          <w:szCs w:val="32"/>
        </w:rPr>
        <w:t>CHAPTER 6: FUTURE SCOPE</w:t>
      </w:r>
    </w:p>
    <w:p w14:paraId="1685DACA">
      <w:pPr>
        <w:pBdr>
          <w:bottom w:val="single" w:color="2E75B6" w:sz="4" w:space="1"/>
        </w:pBdr>
        <w:spacing w:before="100" w:after="100"/>
      </w:pPr>
    </w:p>
    <w:p w14:paraId="4080BFCE">
      <w:pPr>
        <w:spacing w:before="0" w:after="160" w:line="360" w:lineRule="auto"/>
        <w:jc w:val="both"/>
      </w:pPr>
      <w:r>
        <w:rPr>
          <w:rFonts w:ascii="Times New Roman" w:hAnsi="Times New Roman" w:eastAsia="Times New Roman" w:cs="Times New Roman"/>
          <w:b w:val="0"/>
          <w:bCs w:val="0"/>
          <w:i w:val="0"/>
          <w:iCs w:val="0"/>
          <w:sz w:val="24"/>
          <w:szCs w:val="24"/>
        </w:rPr>
        <w:t>While this project has succeeded in generating substantive analytical insights from the Global Economic Indicators dataset using Microsoft Power BI, there remain numerous opportunities for extending and deepening the scope of the analysis in future work. The following directions for future research and development are proposed, organized broadly into extensions of the analytical framework, enhancements to the technical infrastructure, and expansions of the thematic scope.</w:t>
      </w:r>
    </w:p>
    <w:p w14:paraId="0C27322A">
      <w:pPr>
        <w:pStyle w:val="3"/>
        <w:spacing w:before="280" w:after="160"/>
      </w:pPr>
      <w:r>
        <w:rPr>
          <w:rFonts w:ascii="Times New Roman" w:hAnsi="Times New Roman" w:eastAsia="Times New Roman" w:cs="Times New Roman"/>
          <w:b/>
          <w:bCs/>
          <w:sz w:val="28"/>
          <w:szCs w:val="28"/>
        </w:rPr>
        <w:t>6.1 Extensions of Analytical Framework</w:t>
      </w:r>
    </w:p>
    <w:p w14:paraId="7BBF39DB">
      <w:pPr>
        <w:spacing w:before="0" w:after="160" w:line="360" w:lineRule="auto"/>
        <w:jc w:val="both"/>
      </w:pPr>
      <w:r>
        <w:rPr>
          <w:rFonts w:ascii="Times New Roman" w:hAnsi="Times New Roman" w:eastAsia="Times New Roman" w:cs="Times New Roman"/>
          <w:b w:val="0"/>
          <w:bCs w:val="0"/>
          <w:i w:val="0"/>
          <w:iCs w:val="0"/>
          <w:sz w:val="24"/>
          <w:szCs w:val="24"/>
        </w:rPr>
        <w:t>The current analysis is descriptive and exploratory in nature, focusing on identifying patterns and trends in the data through visualization and summary statistics. A natural extension of this work would be to incorporate inferential statistical methods and predictive modeling to move from description to explanation and forecasting. For instance, panel data econometric models (such as fixed-effects or random-effects regression) could be used to rigorously test hypotheses about the relationships between GDP growth, energy use, CO₂ emissions, population growth, and freshwater withdrawal, while controlling for country-specific and time-specific confounding factors. Such models would enable the calculation of elasticity coefficients that quantify, for example, the expected change in CO₂ emissions for a one-percent increase in GDP, holding other factors constant.</w:t>
      </w:r>
    </w:p>
    <w:p w14:paraId="7F147AFC">
      <w:pPr>
        <w:spacing w:before="0" w:after="160" w:line="360" w:lineRule="auto"/>
        <w:jc w:val="both"/>
      </w:pPr>
      <w:r>
        <w:rPr>
          <w:rFonts w:ascii="Times New Roman" w:hAnsi="Times New Roman" w:eastAsia="Times New Roman" w:cs="Times New Roman"/>
          <w:b w:val="0"/>
          <w:bCs w:val="0"/>
          <w:i w:val="0"/>
          <w:iCs w:val="0"/>
          <w:sz w:val="24"/>
          <w:szCs w:val="24"/>
        </w:rPr>
        <w:t>Time series forecasting models (such as ARIMA, SARIMA, or machine learning-based approaches including LSTM recurrent neural networks and Facebook Prophet) could be applied to project the future trajectories of each indicator based on historical patterns and trend extrapolations. Such forecasts would be particularly valuable for policymakers seeking to anticipate the magnitude of resource demands and environmental pressures that will accompany different GDP growth scenarios over the coming decades.</w:t>
      </w:r>
    </w:p>
    <w:p w14:paraId="5200F1CB">
      <w:pPr>
        <w:spacing w:before="0" w:after="160" w:line="360" w:lineRule="auto"/>
        <w:jc w:val="both"/>
      </w:pPr>
      <w:r>
        <w:rPr>
          <w:rFonts w:ascii="Times New Roman" w:hAnsi="Times New Roman" w:eastAsia="Times New Roman" w:cs="Times New Roman"/>
          <w:b w:val="0"/>
          <w:bCs w:val="0"/>
          <w:i w:val="0"/>
          <w:iCs w:val="0"/>
          <w:sz w:val="24"/>
          <w:szCs w:val="24"/>
        </w:rPr>
        <w:t>The Environmental Kuznets Curve (EKC) hypothesis, which predicts an inverted U-shaped relationship between income per capita and environmental degradation, could be formally tested using the available data by specifying quadratic regression models with GDP per capita and its squared term as predictors of CO₂ emissions per capita. The results of such tests would have important implications for development policy, as the EKC hypothesis (if validated) would suggest that economic growth itself is an eventual driver of environmental improvement, reducing the perceived trade-off between development and sustainability.</w:t>
      </w:r>
    </w:p>
    <w:p w14:paraId="61D64E60">
      <w:pPr>
        <w:pStyle w:val="3"/>
        <w:spacing w:before="280" w:after="160"/>
      </w:pPr>
      <w:r>
        <w:rPr>
          <w:rFonts w:ascii="Times New Roman" w:hAnsi="Times New Roman" w:eastAsia="Times New Roman" w:cs="Times New Roman"/>
          <w:b/>
          <w:bCs/>
          <w:sz w:val="28"/>
          <w:szCs w:val="28"/>
        </w:rPr>
        <w:t>6.2 Technical Enhancements</w:t>
      </w:r>
    </w:p>
    <w:p w14:paraId="65AE6085">
      <w:pPr>
        <w:spacing w:before="0" w:after="160" w:line="360" w:lineRule="auto"/>
        <w:jc w:val="both"/>
      </w:pPr>
      <w:r>
        <w:rPr>
          <w:rFonts w:ascii="Times New Roman" w:hAnsi="Times New Roman" w:eastAsia="Times New Roman" w:cs="Times New Roman"/>
          <w:b w:val="0"/>
          <w:bCs w:val="0"/>
          <w:i w:val="0"/>
          <w:iCs w:val="0"/>
          <w:sz w:val="24"/>
          <w:szCs w:val="24"/>
        </w:rPr>
        <w:t>The current Power BI dashboard could be significantly enhanced through the integration of additional data connectors and real-time data feeds. For instance, connecting the report to the World Bank API would enable automatic data refresh whenever new annual data is published, ensuring that the dashboard always displays the most current available information without requiring manual data exports and reimports. Similarly, integration with climate data APIs (such as NOAA's Global Surface Temperature dataset or NASA's CO₂ concentration time series from Mauna Loa) would enable the analysis to be complemented by physical climate data, providing a richer context for the interpretation of emissions trends.</w:t>
      </w:r>
    </w:p>
    <w:p w14:paraId="52D4278D">
      <w:pPr>
        <w:spacing w:before="0" w:after="160" w:line="360" w:lineRule="auto"/>
        <w:jc w:val="both"/>
      </w:pPr>
      <w:r>
        <w:rPr>
          <w:rFonts w:ascii="Times New Roman" w:hAnsi="Times New Roman" w:eastAsia="Times New Roman" w:cs="Times New Roman"/>
          <w:b w:val="0"/>
          <w:bCs w:val="0"/>
          <w:i w:val="0"/>
          <w:iCs w:val="0"/>
          <w:sz w:val="24"/>
          <w:szCs w:val="24"/>
        </w:rPr>
        <w:t>The adoption of Python scripting within Power BI (using the Python visual integration feature or the Power BI Python scripting connector) would substantially expand the range of statistical analyses that can be performed directly within the dashboard environment. Python's extensive scientific computing ecosystem – including libraries such as Pandas, NumPy, SciPy, Statsmodels, Scikit-learn, and Matplotlib – would enable the implementation of regression analyses, clustering algorithms, dimensionality reduction techniques, and machine learning models that go well beyond the capabilities of DAX alone.</w:t>
      </w:r>
    </w:p>
    <w:p w14:paraId="0B1F75EC">
      <w:pPr>
        <w:spacing w:before="0" w:after="160" w:line="360" w:lineRule="auto"/>
        <w:jc w:val="both"/>
      </w:pPr>
      <w:r>
        <w:rPr>
          <w:rFonts w:ascii="Times New Roman" w:hAnsi="Times New Roman" w:eastAsia="Times New Roman" w:cs="Times New Roman"/>
          <w:b w:val="0"/>
          <w:bCs w:val="0"/>
          <w:i w:val="0"/>
          <w:iCs w:val="0"/>
          <w:sz w:val="24"/>
          <w:szCs w:val="24"/>
        </w:rPr>
        <w:t>The publication of the Power BI report to the Power BI Service cloud platform would enable broader stakeholder access to the dashboard, including role-level security configurations to control which data each user group can see, automated scheduled refresh, and integration with Microsoft Teams or SharePoint for embedded access within existing collaboration platforms. Row-level security could be configured to enable individual country-level users to access only the data pertaining to their own country, while a global admin view would remain available to researchers and policymakers with broader access privileges.</w:t>
      </w:r>
    </w:p>
    <w:p w14:paraId="60FBA4EE">
      <w:pPr>
        <w:pStyle w:val="3"/>
        <w:spacing w:before="280" w:after="160"/>
      </w:pPr>
      <w:r>
        <w:rPr>
          <w:rFonts w:ascii="Times New Roman" w:hAnsi="Times New Roman" w:eastAsia="Times New Roman" w:cs="Times New Roman"/>
          <w:b/>
          <w:bCs/>
          <w:sz w:val="28"/>
          <w:szCs w:val="28"/>
        </w:rPr>
        <w:t>6.3 Expansion of Thematic Scope</w:t>
      </w:r>
    </w:p>
    <w:p w14:paraId="05FC611C">
      <w:pPr>
        <w:spacing w:before="0" w:after="160" w:line="360" w:lineRule="auto"/>
        <w:jc w:val="both"/>
      </w:pPr>
      <w:r>
        <w:rPr>
          <w:rFonts w:ascii="Times New Roman" w:hAnsi="Times New Roman" w:eastAsia="Times New Roman" w:cs="Times New Roman"/>
          <w:b w:val="0"/>
          <w:bCs w:val="0"/>
          <w:i w:val="0"/>
          <w:iCs w:val="0"/>
          <w:sz w:val="24"/>
          <w:szCs w:val="24"/>
        </w:rPr>
        <w:t>The current dataset covers five economic and environmental indicators, but the World Bank's WDI collection encompasses hundreds of additional series that could enrich the analysis considerably. Potential additions include indicators of income inequality (the Gini coefficient, poverty headcount ratios), human capital endowments (education enrollment rates, years of schooling), health outcomes (life expectancy, under-five mortality rates), governance quality (rule of law, control of corruption), and financial development (domestic credit to the private sector, stock market capitalization). Incorporating these dimensions would transform the project from an analysis of economic and environmental performance into a comprehensive assessment of multidimensional human development.</w:t>
      </w:r>
    </w:p>
    <w:p w14:paraId="7B534ECB">
      <w:pPr>
        <w:spacing w:before="0" w:after="160" w:line="360" w:lineRule="auto"/>
        <w:jc w:val="both"/>
      </w:pPr>
      <w:r>
        <w:rPr>
          <w:rFonts w:ascii="Times New Roman" w:hAnsi="Times New Roman" w:eastAsia="Times New Roman" w:cs="Times New Roman"/>
          <w:b w:val="0"/>
          <w:bCs w:val="0"/>
          <w:i w:val="0"/>
          <w:iCs w:val="0"/>
          <w:sz w:val="24"/>
          <w:szCs w:val="24"/>
        </w:rPr>
        <w:t>The geographic scope of the analysis could also be expanded beyond the country level to incorporate subnational data for countries that have sufficiently granular regional data. In large and geographically diverse countries such as India, China, Brazil, and the United States, the national averages analyzed in the current study obscure enormous regional disparities in economic development, energy use, emissions, and water availability. A subnational analysis using state/province-level data would reveal these within-country inequalities and provide a more fine-grained understanding of the spatial dimensions of development challenges.</w:t>
      </w:r>
    </w:p>
    <w:p w14:paraId="2F8284F1">
      <w:pPr>
        <w:spacing w:before="0" w:after="160" w:line="360" w:lineRule="auto"/>
        <w:jc w:val="both"/>
      </w:pPr>
      <w:r>
        <w:rPr>
          <w:rFonts w:ascii="Times New Roman" w:hAnsi="Times New Roman" w:eastAsia="Times New Roman" w:cs="Times New Roman"/>
          <w:b w:val="0"/>
          <w:bCs w:val="0"/>
          <w:i w:val="0"/>
          <w:iCs w:val="0"/>
          <w:sz w:val="24"/>
          <w:szCs w:val="24"/>
        </w:rPr>
        <w:t>Finally, the integration of climate scenario data from the Intergovernmental Panel on Climate Change (IPCC) Sixth Assessment Report (AR6) would enable a forward-looking scenario analysis that examines how different greenhouse gas concentration trajectories (corresponding to different levels of global climate action) are projected to affect economic development, agricultural productivity, water availability, and population displacement in different regions of the world. Such scenario analysis would provide a powerful bridge between the historical trend analysis conducted in the current project and the forward-looking risk assessment needs of policymakers and development planners.</w:t>
      </w:r>
    </w:p>
    <w:p w14:paraId="29025CC0">
      <w:r>
        <w:br w:type="page"/>
      </w:r>
    </w:p>
    <w:p w14:paraId="4BFF1BB2">
      <w:pPr>
        <w:pStyle w:val="2"/>
        <w:spacing w:before="320" w:after="200"/>
      </w:pPr>
      <w:r>
        <w:rPr>
          <w:rFonts w:ascii="Times New Roman" w:hAnsi="Times New Roman" w:eastAsia="Times New Roman" w:cs="Times New Roman"/>
          <w:b/>
          <w:bCs/>
          <w:sz w:val="32"/>
          <w:szCs w:val="32"/>
        </w:rPr>
        <w:t>REFERENCES</w:t>
      </w:r>
    </w:p>
    <w:p w14:paraId="1D57E99F">
      <w:pPr>
        <w:pBdr>
          <w:bottom w:val="single" w:color="2E75B6" w:sz="4" w:space="1"/>
        </w:pBdr>
        <w:spacing w:before="100" w:after="100"/>
      </w:pPr>
    </w:p>
    <w:p w14:paraId="2200E55F">
      <w:pPr>
        <w:spacing w:after="140" w:line="360" w:lineRule="auto"/>
        <w:ind w:left="720" w:hanging="720"/>
      </w:pPr>
      <w:r>
        <w:rPr>
          <w:rFonts w:ascii="Times New Roman" w:hAnsi="Times New Roman" w:eastAsia="Times New Roman" w:cs="Times New Roman"/>
          <w:sz w:val="23"/>
          <w:szCs w:val="23"/>
        </w:rPr>
        <w:t>[1] World Bank, "World Development Indicators," World Bank Open Data, 2021. [Online]. Available: https://data.worldbank.org/indicator. [Accessed: Mar. 10, 2025].</w:t>
      </w:r>
    </w:p>
    <w:p w14:paraId="3A17617E">
      <w:pPr>
        <w:spacing w:after="140" w:line="360" w:lineRule="auto"/>
        <w:ind w:left="720" w:hanging="720"/>
      </w:pPr>
      <w:r>
        <w:rPr>
          <w:rFonts w:ascii="Times New Roman" w:hAnsi="Times New Roman" w:eastAsia="Times New Roman" w:cs="Times New Roman"/>
          <w:sz w:val="23"/>
          <w:szCs w:val="23"/>
        </w:rPr>
        <w:t>[2] M. Roser, H. Ritchie, and E. Ortiz-Ospina, "Our World in Data - CO2 and Greenhouse Gas Emissions," Our World in Data, 2023. [Online]. Available: https://ourworldindata.org/co2-emissions. [Accessed: Mar. 12, 2025].</w:t>
      </w:r>
    </w:p>
    <w:p w14:paraId="5751CBAE">
      <w:pPr>
        <w:spacing w:after="140" w:line="360" w:lineRule="auto"/>
        <w:ind w:left="720" w:hanging="720"/>
      </w:pPr>
      <w:r>
        <w:rPr>
          <w:rFonts w:ascii="Times New Roman" w:hAnsi="Times New Roman" w:eastAsia="Times New Roman" w:cs="Times New Roman"/>
          <w:sz w:val="23"/>
          <w:szCs w:val="23"/>
        </w:rPr>
        <w:t>[3] G. Munda, "Measuring Sustainability: A Multi-Criterion Framework," European Environment, vol. 14, no. 4, pp. 202–213, 2004.</w:t>
      </w:r>
    </w:p>
    <w:p w14:paraId="5D46769D">
      <w:pPr>
        <w:spacing w:after="140" w:line="360" w:lineRule="auto"/>
        <w:ind w:left="720" w:hanging="720"/>
      </w:pPr>
      <w:r>
        <w:rPr>
          <w:rFonts w:ascii="Times New Roman" w:hAnsi="Times New Roman" w:eastAsia="Times New Roman" w:cs="Times New Roman"/>
          <w:sz w:val="23"/>
          <w:szCs w:val="23"/>
        </w:rPr>
        <w:t>[4] United Nations, "The 2030 Agenda for Sustainable Development," United Nations Department of Economic and Social Affairs, New York, 2015.</w:t>
      </w:r>
    </w:p>
    <w:p w14:paraId="1C26488E">
      <w:pPr>
        <w:spacing w:after="140" w:line="360" w:lineRule="auto"/>
        <w:ind w:left="720" w:hanging="720"/>
      </w:pPr>
      <w:r>
        <w:rPr>
          <w:rFonts w:ascii="Times New Roman" w:hAnsi="Times New Roman" w:eastAsia="Times New Roman" w:cs="Times New Roman"/>
          <w:sz w:val="23"/>
          <w:szCs w:val="23"/>
        </w:rPr>
        <w:t>[5] S. Kuznets, "Economic Growth and Income Inequality," American Economic Review, vol. 45, no. 1, pp. 1–28, Mar. 1955.</w:t>
      </w:r>
    </w:p>
    <w:p w14:paraId="446487B6">
      <w:pPr>
        <w:spacing w:after="140" w:line="360" w:lineRule="auto"/>
        <w:ind w:left="720" w:hanging="720"/>
      </w:pPr>
      <w:r>
        <w:rPr>
          <w:rFonts w:ascii="Times New Roman" w:hAnsi="Times New Roman" w:eastAsia="Times New Roman" w:cs="Times New Roman"/>
          <w:sz w:val="23"/>
          <w:szCs w:val="23"/>
        </w:rPr>
        <w:t>[6] G. Grossman and A. Krueger, "Economic Growth and the Environment," Quarterly Journal of Economics, vol. 110, no. 2, pp. 353–377, May 1995.</w:t>
      </w:r>
    </w:p>
    <w:p w14:paraId="2B62B1BB">
      <w:pPr>
        <w:spacing w:after="140" w:line="360" w:lineRule="auto"/>
        <w:ind w:left="720" w:hanging="720"/>
      </w:pPr>
      <w:r>
        <w:rPr>
          <w:rFonts w:ascii="Times New Roman" w:hAnsi="Times New Roman" w:eastAsia="Times New Roman" w:cs="Times New Roman"/>
          <w:sz w:val="23"/>
          <w:szCs w:val="23"/>
        </w:rPr>
        <w:t>[7] Microsoft Corporation, "Power BI Documentation," Microsoft Learn, 2024. [Online]. Available: https://learn.microsoft.com/en-us/power-bi/. [Accessed: Feb. 20, 2025].</w:t>
      </w:r>
    </w:p>
    <w:p w14:paraId="31941B19">
      <w:pPr>
        <w:spacing w:after="140" w:line="360" w:lineRule="auto"/>
        <w:ind w:left="720" w:hanging="720"/>
      </w:pPr>
      <w:r>
        <w:rPr>
          <w:rFonts w:ascii="Times New Roman" w:hAnsi="Times New Roman" w:eastAsia="Times New Roman" w:cs="Times New Roman"/>
          <w:sz w:val="23"/>
          <w:szCs w:val="23"/>
        </w:rPr>
        <w:t>[8] T. Hak, S. Janouskova, and B. Moldan, "Sustainable Development Goals: A Need for Relevant Indicators," Ecological Indicators, vol. 60, pp. 565–573, Jan. 2016.</w:t>
      </w:r>
    </w:p>
    <w:p w14:paraId="4E296C3B">
      <w:pPr>
        <w:spacing w:after="140" w:line="360" w:lineRule="auto"/>
        <w:ind w:left="720" w:hanging="720"/>
      </w:pPr>
      <w:r>
        <w:rPr>
          <w:rFonts w:ascii="Times New Roman" w:hAnsi="Times New Roman" w:eastAsia="Times New Roman" w:cs="Times New Roman"/>
          <w:sz w:val="23"/>
          <w:szCs w:val="23"/>
        </w:rPr>
        <w:t>[9] United Nations Environment Programme (UNEP), "Global Environment Outlook 6: Healthy Planet, Healthy People," UNEP, Nairobi, 2019.</w:t>
      </w:r>
    </w:p>
    <w:p w14:paraId="1EBFA94F">
      <w:pPr>
        <w:spacing w:after="140" w:line="360" w:lineRule="auto"/>
        <w:ind w:left="720" w:hanging="720"/>
      </w:pPr>
      <w:r>
        <w:rPr>
          <w:rFonts w:ascii="Times New Roman" w:hAnsi="Times New Roman" w:eastAsia="Times New Roman" w:cs="Times New Roman"/>
          <w:sz w:val="23"/>
          <w:szCs w:val="23"/>
        </w:rPr>
        <w:t>[10] International Energy Agency (IEA), "World Energy Outlook 2023," IEA, Paris, 2023.</w:t>
      </w:r>
    </w:p>
    <w:p w14:paraId="3CF7E933">
      <w:pPr>
        <w:spacing w:after="140" w:line="360" w:lineRule="auto"/>
        <w:ind w:left="720" w:hanging="720"/>
      </w:pPr>
      <w:r>
        <w:rPr>
          <w:rFonts w:ascii="Times New Roman" w:hAnsi="Times New Roman" w:eastAsia="Times New Roman" w:cs="Times New Roman"/>
          <w:sz w:val="23"/>
          <w:szCs w:val="23"/>
        </w:rPr>
        <w:t>[11] J. Rockström et al., "A Safe Operating Space for Humanity," Nature, vol. 461, pp. 472–475, Sep. 2009.</w:t>
      </w:r>
    </w:p>
    <w:p w14:paraId="7416F714">
      <w:pPr>
        <w:spacing w:after="140" w:line="360" w:lineRule="auto"/>
        <w:ind w:left="720" w:hanging="720"/>
      </w:pPr>
      <w:r>
        <w:rPr>
          <w:rFonts w:ascii="Times New Roman" w:hAnsi="Times New Roman" w:eastAsia="Times New Roman" w:cs="Times New Roman"/>
          <w:sz w:val="23"/>
          <w:szCs w:val="23"/>
        </w:rPr>
        <w:t>[12] P. Dasgupta, "The Dasgupta Review: Independent Review on the Economics of Biodiversity," HM Treasury, London, UK, 2021.</w:t>
      </w:r>
    </w:p>
    <w:p w14:paraId="2063A8B5">
      <w:pPr>
        <w:spacing w:after="140" w:line="360" w:lineRule="auto"/>
        <w:ind w:left="720" w:hanging="720"/>
      </w:pPr>
      <w:r>
        <w:rPr>
          <w:rFonts w:ascii="Times New Roman" w:hAnsi="Times New Roman" w:eastAsia="Times New Roman" w:cs="Times New Roman"/>
          <w:sz w:val="23"/>
          <w:szCs w:val="23"/>
        </w:rPr>
        <w:t>[13] R. Heikkilä, "Introduction to Data Analytics with Power BI," Packt Publishing, Birmingham, UK, 2020.</w:t>
      </w:r>
    </w:p>
    <w:p w14:paraId="3FE09C65">
      <w:pPr>
        <w:spacing w:after="140" w:line="360" w:lineRule="auto"/>
        <w:ind w:left="720" w:hanging="720"/>
      </w:pPr>
      <w:r>
        <w:rPr>
          <w:rFonts w:ascii="Times New Roman" w:hAnsi="Times New Roman" w:eastAsia="Times New Roman" w:cs="Times New Roman"/>
          <w:sz w:val="23"/>
          <w:szCs w:val="23"/>
        </w:rPr>
        <w:t>[14] United Nations, "World Water Development Report 2023: Partnerships and Cooperation for Water," UNESCO, Paris, 2023.</w:t>
      </w:r>
    </w:p>
    <w:p w14:paraId="0F9C2CF0">
      <w:pPr>
        <w:spacing w:after="140" w:line="360" w:lineRule="auto"/>
        <w:ind w:left="720" w:hanging="720"/>
      </w:pPr>
      <w:r>
        <w:rPr>
          <w:rFonts w:ascii="Times New Roman" w:hAnsi="Times New Roman" w:eastAsia="Times New Roman" w:cs="Times New Roman"/>
          <w:sz w:val="23"/>
          <w:szCs w:val="23"/>
        </w:rPr>
        <w:t>[15] Intergovernmental Panel on Climate Change (IPCC), "Climate Change 2021: The Physical Science Basis – Sixth Assessment Report (AR6)," Cambridge University Press, Cambridge, UK, 2021.</w:t>
      </w:r>
    </w:p>
    <w:p w14:paraId="31D5755F">
      <w:pPr>
        <w:spacing w:after="140" w:line="360" w:lineRule="auto"/>
        <w:ind w:left="720" w:hanging="720"/>
      </w:pPr>
      <w:r>
        <w:rPr>
          <w:rFonts w:ascii="Times New Roman" w:hAnsi="Times New Roman" w:eastAsia="Times New Roman" w:cs="Times New Roman"/>
          <w:sz w:val="23"/>
          <w:szCs w:val="23"/>
        </w:rPr>
        <w:t>[16] World Bank, "Poverty and Shared Prosperity 2022: Correcting Course," World Bank Group, Washington, D.C., 2022.</w:t>
      </w:r>
    </w:p>
    <w:p w14:paraId="0AF93516">
      <w:pPr>
        <w:spacing w:after="140" w:line="360" w:lineRule="auto"/>
        <w:ind w:left="720" w:hanging="720"/>
      </w:pPr>
      <w:r>
        <w:rPr>
          <w:rFonts w:ascii="Times New Roman" w:hAnsi="Times New Roman" w:eastAsia="Times New Roman" w:cs="Times New Roman"/>
          <w:sz w:val="23"/>
          <w:szCs w:val="23"/>
        </w:rPr>
        <w:t>[17] B. C. O’Neill et al., "A New Scenario Framework for Climate Change Research: The Concept of Shared Socioeconomic Pathways," Climatic Change, vol. 122, no. 3, pp. 387–400, 2014.</w:t>
      </w:r>
    </w:p>
    <w:p w14:paraId="2C46B8C1">
      <w:pPr>
        <w:spacing w:after="140" w:line="360" w:lineRule="auto"/>
        <w:ind w:left="720" w:hanging="720"/>
      </w:pPr>
      <w:r>
        <w:rPr>
          <w:rFonts w:ascii="Times New Roman" w:hAnsi="Times New Roman" w:eastAsia="Times New Roman" w:cs="Times New Roman"/>
          <w:sz w:val="23"/>
          <w:szCs w:val="23"/>
        </w:rPr>
        <w:t>[18] F. Dietz and E. Neukirch, "Towards a Sustainability Transition: How Business Models Contribute to Sustainability Transformation," Journal of Cleaner Production, vol. 45, pp. 10–19, 2013.</w:t>
      </w:r>
    </w:p>
    <w:p w14:paraId="249A16ED">
      <w:pPr>
        <w:spacing w:after="140" w:line="360" w:lineRule="auto"/>
        <w:ind w:left="720" w:hanging="720"/>
      </w:pPr>
      <w:r>
        <w:rPr>
          <w:rFonts w:ascii="Times New Roman" w:hAnsi="Times New Roman" w:eastAsia="Times New Roman" w:cs="Times New Roman"/>
          <w:sz w:val="23"/>
          <w:szCs w:val="23"/>
        </w:rPr>
        <w:t>[19] D. Meadows, J. Randers, and D. Meadows, "Limits to Growth: The 30-Year Update," Chelsea Green Publishing, Vermont, USA, 2004.</w:t>
      </w:r>
    </w:p>
    <w:p w14:paraId="3FB40202">
      <w:pPr>
        <w:spacing w:after="140" w:line="360" w:lineRule="auto"/>
        <w:ind w:left="720" w:hanging="720"/>
      </w:pPr>
      <w:r>
        <w:rPr>
          <w:rFonts w:ascii="Times New Roman" w:hAnsi="Times New Roman" w:eastAsia="Times New Roman" w:cs="Times New Roman"/>
          <w:sz w:val="23"/>
          <w:szCs w:val="23"/>
        </w:rPr>
        <w:t>[20] Kaggle Inc., "Global Economic Indicators Dataset," Kaggle Open Datasets, 2023. [Online]. Available: https://www.kaggle.com/datasets/worldbank/world-development-indicators. [Accessed: Feb. 15, 2025].</w:t>
      </w:r>
    </w:p>
    <w:p w14:paraId="28219724">
      <w:r>
        <w:br w:type="page"/>
      </w:r>
    </w:p>
    <w:p w14:paraId="09DAD84F">
      <w:pPr>
        <w:pStyle w:val="2"/>
        <w:spacing w:before="320" w:after="200"/>
      </w:pPr>
      <w:r>
        <w:rPr>
          <w:rFonts w:ascii="Times New Roman" w:hAnsi="Times New Roman" w:eastAsia="Times New Roman" w:cs="Times New Roman"/>
          <w:b/>
          <w:bCs/>
          <w:sz w:val="32"/>
          <w:szCs w:val="32"/>
        </w:rPr>
        <w:t>LINKEDIN PROJECT LINK</w:t>
      </w:r>
    </w:p>
    <w:p w14:paraId="7DC6B09E">
      <w:pPr>
        <w:pBdr>
          <w:bottom w:val="single" w:color="2E75B6" w:sz="4" w:space="1"/>
        </w:pBdr>
        <w:spacing w:before="100" w:after="100"/>
      </w:pPr>
    </w:p>
    <w:p w14:paraId="566CDCD6">
      <w:pPr>
        <w:spacing w:before="0" w:after="160" w:line="360" w:lineRule="auto"/>
        <w:jc w:val="both"/>
      </w:pPr>
      <w:r>
        <w:rPr>
          <w:rFonts w:ascii="Times New Roman" w:hAnsi="Times New Roman" w:eastAsia="Times New Roman" w:cs="Times New Roman"/>
          <w:b w:val="0"/>
          <w:bCs w:val="0"/>
          <w:i w:val="0"/>
          <w:iCs w:val="0"/>
          <w:sz w:val="24"/>
          <w:szCs w:val="24"/>
        </w:rPr>
        <w:t>As part of the professional documentation requirements for this Data Science Minor Project, the project has been published on the LinkedIn professional networking platform to showcase the student’s practical skills and analytical competencies to prospective employers and industry professionals.</w:t>
      </w:r>
    </w:p>
    <w:p w14:paraId="1FAE8274">
      <w:pPr>
        <w:spacing w:before="0" w:after="160" w:line="360" w:lineRule="auto"/>
        <w:jc w:val="both"/>
      </w:pPr>
      <w:r>
        <w:rPr>
          <w:rFonts w:ascii="Times New Roman" w:hAnsi="Times New Roman" w:eastAsia="Times New Roman" w:cs="Times New Roman"/>
          <w:b w:val="0"/>
          <w:bCs w:val="0"/>
          <w:i w:val="0"/>
          <w:iCs w:val="0"/>
          <w:sz w:val="24"/>
          <w:szCs w:val="24"/>
        </w:rPr>
        <w:t>The LinkedIn post includes a summary description of the project objectives, methodology, and key findings, along with screenshots of the Power BI interactive dashboard and the key visualizations developed as part of the analysis. The post is tagged with relevant technical keywords including #PowerBI, #DataScience, #GlobalEconomics, #CO2Emissions, #EnergyAnalytics, and #SustainableDevelopment to maximize visibility within the professional data science community.</w:t>
      </w:r>
    </w:p>
    <w:p w14:paraId="46A1035B"/>
    <w:p w14:paraId="030F5F2F">
      <w:pPr>
        <w:spacing w:before="0" w:after="160" w:line="360" w:lineRule="auto"/>
        <w:jc w:val="both"/>
      </w:pPr>
      <w:r>
        <w:rPr>
          <w:rFonts w:ascii="Times New Roman" w:hAnsi="Times New Roman" w:eastAsia="Times New Roman" w:cs="Times New Roman"/>
          <w:b/>
          <w:bCs/>
          <w:sz w:val="24"/>
          <w:szCs w:val="24"/>
        </w:rPr>
        <w:t xml:space="preserve">LinkedIn Project Post URL: </w:t>
      </w:r>
      <w:r>
        <w:rPr>
          <w:rFonts w:ascii="Times New Roman" w:hAnsi="Times New Roman" w:eastAsia="Times New Roman" w:cs="Times New Roman"/>
          <w:b w:val="0"/>
          <w:bCs w:val="0"/>
          <w:i/>
          <w:iCs/>
          <w:sz w:val="24"/>
          <w:szCs w:val="24"/>
        </w:rPr>
        <w:fldChar w:fldCharType="begin"/>
      </w:r>
      <w:r>
        <w:rPr>
          <w:rFonts w:ascii="Times New Roman" w:hAnsi="Times New Roman" w:eastAsia="Times New Roman" w:cs="Times New Roman"/>
          <w:b w:val="0"/>
          <w:bCs w:val="0"/>
          <w:i/>
          <w:iCs/>
          <w:sz w:val="24"/>
          <w:szCs w:val="24"/>
        </w:rPr>
        <w:instrText xml:space="preserve"> HYPERLINK "https://www.linkedin.com/posts/mridul-vatsal08_powerbi-dataanalytics-datavisualization-ugcPost-7437931346070556672-YUw1?utm_source=share&amp;utm_medium=member_desktop&amp;rcm=ACoAAFFuiOsBEojh2lvibP1GMEcbQ1weKqceKxU" </w:instrText>
      </w:r>
      <w:r>
        <w:rPr>
          <w:rFonts w:ascii="Times New Roman" w:hAnsi="Times New Roman" w:eastAsia="Times New Roman" w:cs="Times New Roman"/>
          <w:b w:val="0"/>
          <w:bCs w:val="0"/>
          <w:i/>
          <w:iCs/>
          <w:sz w:val="24"/>
          <w:szCs w:val="24"/>
        </w:rPr>
        <w:fldChar w:fldCharType="separate"/>
      </w:r>
      <w:r>
        <w:rPr>
          <w:rStyle w:val="14"/>
          <w:rFonts w:ascii="Times New Roman" w:hAnsi="Times New Roman" w:eastAsia="Times New Roman" w:cs="Times New Roman"/>
          <w:b w:val="0"/>
          <w:bCs w:val="0"/>
          <w:i/>
          <w:iCs/>
          <w:sz w:val="24"/>
          <w:szCs w:val="24"/>
        </w:rPr>
        <w:t>https://www.linkedin.com/posts/mridul-vatsal08_powerbi-dataanalytics-datavisualization-ugcPost-7437931346070556672-YUw1?utm_source=share&amp;utm_medium=member_desktop&amp;rcm=ACoAAFFuiOsBEojh2lvibP1GMEcbQ1weKqceKxU</w:t>
      </w:r>
      <w:r>
        <w:rPr>
          <w:rFonts w:ascii="Times New Roman" w:hAnsi="Times New Roman" w:eastAsia="Times New Roman" w:cs="Times New Roman"/>
          <w:b w:val="0"/>
          <w:bCs w:val="0"/>
          <w:i/>
          <w:iCs/>
          <w:sz w:val="24"/>
          <w:szCs w:val="24"/>
        </w:rPr>
        <w:fldChar w:fldCharType="end"/>
      </w:r>
    </w:p>
    <w:p w14:paraId="111900DD"/>
    <w:p w14:paraId="2B6CE067">
      <w:pPr>
        <w:spacing w:before="0" w:after="160" w:line="360" w:lineRule="auto"/>
        <w:jc w:val="both"/>
      </w:pPr>
      <w:r>
        <w:rPr>
          <w:rFonts w:ascii="Times New Roman" w:hAnsi="Times New Roman" w:eastAsia="Times New Roman" w:cs="Times New Roman"/>
          <w:b/>
          <w:bCs/>
          <w:sz w:val="24"/>
          <w:szCs w:val="24"/>
        </w:rPr>
        <w:t xml:space="preserve">GitHub Repository (if applicable): </w:t>
      </w:r>
      <w:r>
        <w:rPr>
          <w:rFonts w:ascii="Times New Roman" w:hAnsi="Times New Roman" w:eastAsia="Times New Roman" w:cs="Times New Roman"/>
          <w:sz w:val="24"/>
          <w:szCs w:val="24"/>
        </w:rPr>
        <w:t>[Insert GitHub Repository URL – e.g., https://github.com/rahulsharma/global-economic-indicators-powerbi]</w:t>
      </w:r>
    </w:p>
    <w:p w14:paraId="649A7554">
      <w:pPr>
        <w:spacing w:before="0" w:after="160" w:line="360" w:lineRule="auto"/>
        <w:jc w:val="both"/>
      </w:pPr>
      <w:bookmarkStart w:id="0" w:name="_GoBack"/>
      <w:bookmarkEnd w:id="0"/>
    </w:p>
    <w:sectPr>
      <w:headerReference r:id="rId3" w:type="default"/>
      <w:footerReference r:id="rId4" w:type="default"/>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11BE2">
    <w:pPr>
      <w:pBdr>
        <w:top w:val="single" w:color="2E75B6" w:sz="4" w:space="1"/>
      </w:pBdr>
      <w:spacing w:before="80"/>
      <w:jc w:val="center"/>
    </w:pPr>
    <w:r>
      <w:rPr>
        <w:rFonts w:ascii="Times New Roman" w:hAnsi="Times New Roman" w:eastAsia="Times New Roman" w:cs="Times New Roman"/>
        <w:color w:val="555555"/>
        <w:sz w:val="20"/>
        <w:szCs w:val="20"/>
      </w:rPr>
      <w:t xml:space="preserve">Lovely Professional University – B.Tech CSE | INT215 | January–April 2025 | Page </w:t>
    </w:r>
    <w:r>
      <w:rPr>
        <w:rFonts w:ascii="Times New Roman" w:hAnsi="Times New Roman" w:eastAsia="Times New Roman" w:cs="Times New Roman"/>
        <w:color w:val="555555"/>
        <w:sz w:val="20"/>
        <w:szCs w:val="20"/>
      </w:rPr>
      <w:fldChar w:fldCharType="begin"/>
    </w:r>
    <w:r>
      <w:rPr>
        <w:rFonts w:ascii="Times New Roman" w:hAnsi="Times New Roman" w:eastAsia="Times New Roman" w:cs="Times New Roman"/>
        <w:color w:val="555555"/>
        <w:sz w:val="20"/>
        <w:szCs w:val="20"/>
      </w:rPr>
      <w:instrText xml:space="preserve">PAGE</w:instrText>
    </w:r>
    <w:r>
      <w:rPr>
        <w:rFonts w:ascii="Times New Roman" w:hAnsi="Times New Roman" w:eastAsia="Times New Roman" w:cs="Times New Roman"/>
        <w:color w:val="555555"/>
        <w:sz w:val="20"/>
        <w:szCs w:val="20"/>
      </w:rPr>
      <w:fldChar w:fldCharType="separate"/>
    </w:r>
    <w:r>
      <w:rPr>
        <w:rFonts w:ascii="Times New Roman" w:hAnsi="Times New Roman" w:eastAsia="Times New Roman" w:cs="Times New Roman"/>
        <w:color w:val="555555"/>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4FC7E">
    <w:pPr>
      <w:pBdr>
        <w:bottom w:val="single" w:color="2E75B6" w:sz="4" w:space="1"/>
      </w:pBdr>
      <w:spacing w:after="100"/>
      <w:jc w:val="right"/>
    </w:pPr>
    <w:r>
      <w:rPr>
        <w:rFonts w:ascii="Times New Roman" w:hAnsi="Times New Roman" w:eastAsia="Times New Roman" w:cs="Times New Roman"/>
        <w:i/>
        <w:iCs/>
        <w:color w:val="555555"/>
        <w:sz w:val="20"/>
        <w:szCs w:val="20"/>
      </w:rPr>
      <w:t>Global Economic Indicators Analysis – Data Science Minor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spacing w:after="100" w:line="360" w:lineRule="auto"/>
        <w:ind w:left="720" w:hanging="360"/>
      </w:pPr>
    </w:lvl>
  </w:abstractNum>
  <w:abstractNum w:abstractNumId="1">
    <w:nsid w:val="59ADCABA"/>
    <w:multiLevelType w:val="singleLevel"/>
    <w:tmpl w:val="59ADCABA"/>
    <w:lvl w:ilvl="0" w:tentative="0">
      <w:start w:val="1"/>
      <w:numFmt w:val="decimal"/>
      <w:lvlText w:val="%1."/>
      <w:lvlJc w:val="left"/>
      <w:pPr>
        <w:spacing w:after="100" w:line="360" w:lineRule="auto"/>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0"/>
  <w:displayVerticalDrawingGridEvery w:val="2"/>
  <w:compat>
    <w:balanceSingleByteDoubleByteWidth/>
    <w:doNotExpandShiftReturn/>
    <w:adjustLineHeightInTable/>
    <w:doNotWrapTextWithPunct/>
    <w:doNotUseEastAsianBreakRules/>
    <w:compatSetting w:name="compatibilityMode" w:uri="http://schemas.microsoft.com/office/word" w:val="15"/>
  </w:compat>
  <w:rsids>
    <w:rsidRoot w:val="00000000"/>
    <w:rsid w:val="04EA6DAD"/>
    <w:rsid w:val="06086E59"/>
    <w:rsid w:val="23415BEF"/>
    <w:rsid w:val="24155071"/>
    <w:rsid w:val="29830742"/>
    <w:rsid w:val="400A1C14"/>
    <w:rsid w:val="40BD744D"/>
    <w:rsid w:val="4A0B68E8"/>
    <w:rsid w:val="51867E54"/>
    <w:rsid w:val="5B3A5BA1"/>
    <w:rsid w:val="62B65FED"/>
    <w:rsid w:val="67C7028A"/>
    <w:rsid w:val="681744E0"/>
    <w:rsid w:val="752330DC"/>
    <w:rsid w:val="77C567A7"/>
    <w:rsid w:val="796E0731"/>
    <w:rsid w:val="79BA6C6F"/>
    <w:rsid w:val="7A517F69"/>
    <w:rsid w:val="7DDF4C23"/>
    <w:rsid w:val="7E503B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00" w:after="200"/>
      <w:outlineLvl w:val="0"/>
    </w:pPr>
    <w:rPr>
      <w:rFonts w:ascii="Times New Roman" w:hAnsi="Times New Roman" w:eastAsia="Times New Roman" w:cs="Times New Roman"/>
      <w:b/>
      <w:bCs/>
      <w:color w:val="1F3864"/>
      <w:sz w:val="32"/>
      <w:szCs w:val="32"/>
    </w:rPr>
  </w:style>
  <w:style w:type="paragraph" w:styleId="3">
    <w:name w:val="heading 2"/>
    <w:next w:val="1"/>
    <w:qFormat/>
    <w:uiPriority w:val="0"/>
    <w:pPr>
      <w:spacing w:before="300" w:after="160"/>
      <w:outlineLvl w:val="1"/>
    </w:pPr>
    <w:rPr>
      <w:rFonts w:ascii="Times New Roman" w:hAnsi="Times New Roman" w:eastAsia="Times New Roman" w:cs="Times New Roman"/>
      <w:b/>
      <w:bCs/>
      <w:color w:val="2E75B6"/>
      <w:sz w:val="28"/>
      <w:szCs w:val="28"/>
    </w:rPr>
  </w:style>
  <w:style w:type="paragraph" w:styleId="4">
    <w:name w:val="heading 3"/>
    <w:next w:val="1"/>
    <w:qFormat/>
    <w:uiPriority w:val="0"/>
    <w:pPr>
      <w:spacing w:before="240" w:after="120"/>
      <w:outlineLvl w:val="2"/>
    </w:pPr>
    <w:rPr>
      <w:rFonts w:ascii="Times New Roman" w:hAnsi="Times New Roman" w:eastAsia="Times New Roman" w:cs="Times New Roman"/>
      <w:b/>
      <w:bCs/>
      <w:color w:val="2E75B6"/>
      <w:sz w:val="26"/>
      <w:szCs w:val="26"/>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54</Pages>
  <Words>937</Words>
  <Characters>5432</Characters>
  <Lines>1</Lines>
  <Paragraphs>1</Paragraphs>
  <TotalTime>34</TotalTime>
  <ScaleCrop>false</ScaleCrop>
  <LinksUpToDate>false</LinksUpToDate>
  <CharactersWithSpaces>6334</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2026-04-18T11:11:00Z</dcterms:created>
  <dc:creator>Un-named</dc:creator>
  <cp:lastModifiedBy>Mridul Vatsal</cp:lastModifiedBy>
  <dcterms:modified xsi:type="dcterms:W3CDTF">2026-04-18T19:16:25Z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eyJoZGlkIjoiMDViMjc1NTAwMzhiNGYyN2Y3Mzg3NWUzNzY4YTc3OTMiLCJ1c2VySWQiOiI4ODEzODM2NzM5NDczIn0=</vt:lpwstr>
  </property>
  <property fmtid="{D5CDD505-2E9C-101B-9397-08002B2CF9AE}" pid="3" name="KSOProductBuildVer">
    <vt:lpwstr>1033-12.1.0.25830</vt:lpwstr>
  </property>
  <property fmtid="{D5CDD505-2E9C-101B-9397-08002B2CF9AE}" pid="4" name="ICV">
    <vt:lpwstr>6FB78753A75747EA872EF2FC0336CCB7_12</vt:lpwstr>
  </property>
</Properties>
</file>