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2FB0" w14:textId="77777777" w:rsidR="00332BAE" w:rsidRDefault="00000000">
      <w:pPr>
        <w:spacing w:after="100"/>
        <w:jc w:val="center"/>
      </w:pPr>
      <w:r>
        <w:rPr>
          <w:rFonts w:ascii="Calibri" w:eastAsia="Calibri" w:hAnsi="Calibri" w:cs="Calibri"/>
          <w:b/>
          <w:bCs/>
          <w:color w:val="555555"/>
          <w:sz w:val="22"/>
          <w:szCs w:val="22"/>
        </w:rPr>
        <w:t>Review – 1</w:t>
      </w:r>
    </w:p>
    <w:p w14:paraId="2D6B7517" w14:textId="77777777" w:rsidR="00332BAE" w:rsidRDefault="00000000">
      <w:pPr>
        <w:spacing w:after="60"/>
        <w:jc w:val="center"/>
      </w:pPr>
      <w:r>
        <w:rPr>
          <w:rFonts w:ascii="Calibri" w:eastAsia="Calibri" w:hAnsi="Calibri" w:cs="Calibri"/>
          <w:b/>
          <w:bCs/>
          <w:sz w:val="30"/>
          <w:szCs w:val="30"/>
        </w:rPr>
        <w:t>SwitchVA: Code-Switch-Aware Dimensional Sentiment Analysis for Hindi-English Code-Mixed Text</w:t>
      </w:r>
    </w:p>
    <w:p w14:paraId="2239292B" w14:textId="51EECBAA" w:rsidR="00332BAE" w:rsidRPr="00F51918" w:rsidRDefault="00000000">
      <w:pPr>
        <w:spacing w:after="300"/>
        <w:jc w:val="center"/>
      </w:pPr>
      <w:r w:rsidRPr="00F51918">
        <w:rPr>
          <w:rFonts w:ascii="Calibri" w:eastAsia="Calibri" w:hAnsi="Calibri" w:cs="Calibri"/>
          <w:color w:val="555555"/>
        </w:rPr>
        <w:t>Team: Aditya Panda (23BAI1297)  |  Adhya Sharma (23BAI1280)  |  K. Mrinal (23BDS1</w:t>
      </w:r>
      <w:r w:rsidR="00E64EAF">
        <w:rPr>
          <w:rFonts w:ascii="Calibri" w:eastAsia="Calibri" w:hAnsi="Calibri" w:cs="Calibri"/>
          <w:color w:val="555555"/>
        </w:rPr>
        <w:t>022</w:t>
      </w:r>
      <w:r w:rsidRPr="00F51918">
        <w:rPr>
          <w:rFonts w:ascii="Calibri" w:eastAsia="Calibri" w:hAnsi="Calibri" w:cs="Calibri"/>
          <w:color w:val="555555"/>
        </w:rPr>
        <w:t>)</w:t>
      </w:r>
    </w:p>
    <w:p w14:paraId="05ED2A78" w14:textId="77777777" w:rsidR="00332BAE" w:rsidRDefault="00000000">
      <w:pPr>
        <w:pStyle w:val="Heading1"/>
        <w:spacing w:before="300" w:after="150"/>
      </w:pPr>
      <w:r>
        <w:rPr>
          <w:rFonts w:ascii="Calibri" w:eastAsia="Calibri" w:hAnsi="Calibri" w:cs="Calibri"/>
          <w:b/>
          <w:bCs/>
        </w:rPr>
        <w:t>1. Title</w:t>
      </w:r>
    </w:p>
    <w:p w14:paraId="7682FAE2" w14:textId="77777777" w:rsidR="00332BAE" w:rsidRDefault="00000000">
      <w:pPr>
        <w:spacing w:after="160" w:line="276" w:lineRule="auto"/>
      </w:pPr>
      <w:r>
        <w:rPr>
          <w:rFonts w:ascii="Calibri" w:eastAsia="Calibri" w:hAnsi="Calibri" w:cs="Calibri"/>
          <w:b/>
          <w:bCs/>
        </w:rPr>
        <w:t>SwitchVA: A Language-Switch-Aware Framework for Dimensional (Valence-Arousal) Aspect-Based Sentiment Analysis in Hindi-English Code-Mixed Text</w:t>
      </w:r>
    </w:p>
    <w:p w14:paraId="33144DC2" w14:textId="77777777" w:rsidR="00332BAE" w:rsidRDefault="00000000">
      <w:pPr>
        <w:pStyle w:val="Heading1"/>
        <w:spacing w:before="300" w:after="150"/>
      </w:pPr>
      <w:r>
        <w:rPr>
          <w:rFonts w:ascii="Calibri" w:eastAsia="Calibri" w:hAnsi="Calibri" w:cs="Calibri"/>
          <w:b/>
          <w:bCs/>
        </w:rPr>
        <w:t>2. Motivation</w:t>
      </w:r>
    </w:p>
    <w:p w14:paraId="2CF7EB63" w14:textId="77777777" w:rsidR="00332BAE" w:rsidRDefault="00000000">
      <w:pPr>
        <w:spacing w:after="160" w:line="276" w:lineRule="auto"/>
      </w:pPr>
      <w:r>
        <w:rPr>
          <w:rFonts w:ascii="Calibri" w:eastAsia="Calibri" w:hAnsi="Calibri" w:cs="Calibri"/>
        </w:rPr>
        <w:t>Sentiment analysis research has recently shifted from coarse categorical polarity (positive / negative / neutral) toward dimensional sentiment — continuous valence (positivity) and arousal (intensity) scores — which capture emotional nuance that a 3-class label cannot. This shift is formalised by the SemEval-2026 Task 3 shared task, DimABSA, covering 11 languages (German, English, Hausa, Japanese, Kinyarwanda, Russian, Swahili, Tatar, Twi, Ukrainian, Chinese).</w:t>
      </w:r>
    </w:p>
    <w:p w14:paraId="3E0DFB9F" w14:textId="77777777" w:rsidR="00332BAE" w:rsidRDefault="00000000">
      <w:pPr>
        <w:spacing w:after="160" w:line="276" w:lineRule="auto"/>
      </w:pPr>
      <w:r>
        <w:rPr>
          <w:rFonts w:ascii="Calibri" w:eastAsia="Calibri" w:hAnsi="Calibri" w:cs="Calibri"/>
        </w:rPr>
        <w:t>However, none of these languages are code-mixed. Hindi-English "Hinglish" — used daily by hundreds of millions of speakers across India, especially in informal reviews and social media — has no existing dimensional ABSA resource or model. Prior Hinglish and multilingual ABSA work exists only for categorical sentiment, not continuous intensity.</w:t>
      </w:r>
    </w:p>
    <w:p w14:paraId="397AE79E" w14:textId="77777777" w:rsidR="00332BAE" w:rsidRDefault="00000000">
      <w:pPr>
        <w:spacing w:after="160" w:line="276" w:lineRule="auto"/>
      </w:pPr>
      <w:r>
        <w:rPr>
          <w:rFonts w:ascii="Calibri" w:eastAsia="Calibri" w:hAnsi="Calibri" w:cs="Calibri"/>
        </w:rPr>
        <w:t>Recent computational work shows that code-switch points are not random: large-scale studies find switches follow predictable syntactic structure (Sterner &amp; Teufel, 2025) and can be generated under explicit linguistic constraints (Kuwanto et al., 2024). This motivates a specific, testable hypothesis that cannot be examined in any monolingual DimABSA language: if switch points are structured and predictable rather than arbitrary, does their location near an aspect term also carry usable signal about that aspect's emotional intensity (arousal)? Prior DimABSA system results also show arousal is consistently harder to predict than valence across all 11 official languages, with no explanation offered for code-mixed settings — this project investigates whether language-switching is part of that missing explanation.</w:t>
      </w:r>
    </w:p>
    <w:p w14:paraId="0F5020FA" w14:textId="77777777" w:rsidR="00F51918" w:rsidRDefault="00000000">
      <w:pPr>
        <w:spacing w:after="160" w:line="276" w:lineRule="auto"/>
        <w:rPr>
          <w:rFonts w:ascii="Calibri" w:eastAsia="Calibri" w:hAnsi="Calibri" w:cs="Calibri"/>
        </w:rPr>
      </w:pPr>
      <w:r>
        <w:rPr>
          <w:rFonts w:ascii="Calibri" w:eastAsia="Calibri" w:hAnsi="Calibri" w:cs="Calibri"/>
        </w:rPr>
        <w:t>The motivation is therefore two-fold:</w:t>
      </w:r>
    </w:p>
    <w:p w14:paraId="204BAB54" w14:textId="3C95DFD0" w:rsidR="00F51918" w:rsidRDefault="00000000">
      <w:pPr>
        <w:spacing w:after="160" w:line="276" w:lineRule="auto"/>
        <w:rPr>
          <w:rFonts w:ascii="Calibri" w:eastAsia="Calibri" w:hAnsi="Calibri" w:cs="Calibri"/>
        </w:rPr>
      </w:pPr>
      <w:r>
        <w:rPr>
          <w:rFonts w:ascii="Calibri" w:eastAsia="Calibri" w:hAnsi="Calibri" w:cs="Calibri"/>
        </w:rPr>
        <w:t xml:space="preserve">(1) </w:t>
      </w:r>
      <w:r w:rsidR="00F51918">
        <w:rPr>
          <w:rFonts w:ascii="Calibri" w:eastAsia="Calibri" w:hAnsi="Calibri" w:cs="Calibri"/>
        </w:rPr>
        <w:t>B</w:t>
      </w:r>
      <w:r>
        <w:rPr>
          <w:rFonts w:ascii="Calibri" w:eastAsia="Calibri" w:hAnsi="Calibri" w:cs="Calibri"/>
        </w:rPr>
        <w:t>uild the first dimensional ABSA dataset and baseline for Hindi-English code-mixed text, filling a genuine resource gap</w:t>
      </w:r>
      <w:r w:rsidR="00F51918">
        <w:rPr>
          <w:rFonts w:ascii="Calibri" w:eastAsia="Calibri" w:hAnsi="Calibri" w:cs="Calibri"/>
        </w:rPr>
        <w:t>.</w:t>
      </w:r>
    </w:p>
    <w:p w14:paraId="3B145E9B" w14:textId="6B354A60" w:rsidR="00332BAE" w:rsidRDefault="00000000">
      <w:pPr>
        <w:spacing w:after="160" w:line="276" w:lineRule="auto"/>
      </w:pPr>
      <w:r>
        <w:rPr>
          <w:rFonts w:ascii="Calibri" w:eastAsia="Calibri" w:hAnsi="Calibri" w:cs="Calibri"/>
        </w:rPr>
        <w:t xml:space="preserve">(2) </w:t>
      </w:r>
      <w:r w:rsidR="00F51918">
        <w:rPr>
          <w:rFonts w:ascii="Calibri" w:eastAsia="Calibri" w:hAnsi="Calibri" w:cs="Calibri"/>
        </w:rPr>
        <w:t>T</w:t>
      </w:r>
      <w:r>
        <w:rPr>
          <w:rFonts w:ascii="Calibri" w:eastAsia="Calibri" w:hAnsi="Calibri" w:cs="Calibri"/>
        </w:rPr>
        <w:t>est whether explicitly modelling code-switch points improves emotional-intensity prediction beyond a standard multilingual-encoder baseline — a contribution structurally impossible to make on any of DimABSA's current languages.</w:t>
      </w:r>
    </w:p>
    <w:p w14:paraId="177E41B8" w14:textId="77777777" w:rsidR="00332BAE" w:rsidRDefault="00000000">
      <w:pPr>
        <w:pStyle w:val="Heading1"/>
        <w:spacing w:before="300" w:after="150"/>
      </w:pPr>
      <w:r>
        <w:rPr>
          <w:rFonts w:ascii="Calibri" w:eastAsia="Calibri" w:hAnsi="Calibri" w:cs="Calibri"/>
          <w:b/>
          <w:bCs/>
        </w:rPr>
        <w:t>3. Literature Review</w:t>
      </w:r>
    </w:p>
    <w:p w14:paraId="61ABE86A" w14:textId="77777777" w:rsidR="00332BAE" w:rsidRDefault="00000000">
      <w:pPr>
        <w:spacing w:after="160" w:line="276" w:lineRule="auto"/>
      </w:pPr>
      <w:r>
        <w:rPr>
          <w:rFonts w:ascii="Calibri" w:eastAsia="Calibri" w:hAnsi="Calibri" w:cs="Calibri"/>
        </w:rPr>
        <w:t>The table below surveys 19 papers across four relevant threads: (a) foundational and dimensional ABSA, (b) code-mixed/Hinglish NLP resources, (c) computational studies of code-switching structure, and (d) candidate backbone models.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3400"/>
        <w:gridCol w:w="3780"/>
      </w:tblGrid>
      <w:tr w:rsidR="00332BAE" w14:paraId="1353658F" w14:textId="77777777">
        <w:trPr>
          <w:tblHeader/>
        </w:trPr>
        <w:tc>
          <w:tcPr>
            <w:tcW w:w="500" w:type="dxa"/>
            <w:shd w:val="clear" w:color="auto" w:fill="2F5496"/>
            <w:tcMar>
              <w:top w:w="80" w:type="dxa"/>
              <w:left w:w="100" w:type="dxa"/>
              <w:bottom w:w="80" w:type="dxa"/>
              <w:right w:w="100" w:type="dxa"/>
            </w:tcMar>
            <w:vAlign w:val="center"/>
          </w:tcPr>
          <w:p w14:paraId="1B0009AB" w14:textId="77777777" w:rsidR="00332BAE" w:rsidRDefault="00000000">
            <w:r>
              <w:rPr>
                <w:rFonts w:ascii="Calibri" w:eastAsia="Calibri" w:hAnsi="Calibri" w:cs="Calibri"/>
                <w:b/>
                <w:bCs/>
                <w:color w:val="FFFFFF"/>
                <w:sz w:val="18"/>
                <w:szCs w:val="18"/>
              </w:rPr>
              <w:t>#</w:t>
            </w:r>
          </w:p>
        </w:tc>
        <w:tc>
          <w:tcPr>
            <w:tcW w:w="2400" w:type="dxa"/>
            <w:shd w:val="clear" w:color="auto" w:fill="2F5496"/>
            <w:tcMar>
              <w:top w:w="80" w:type="dxa"/>
              <w:left w:w="100" w:type="dxa"/>
              <w:bottom w:w="80" w:type="dxa"/>
              <w:right w:w="100" w:type="dxa"/>
            </w:tcMar>
            <w:vAlign w:val="center"/>
          </w:tcPr>
          <w:p w14:paraId="6B7FB2D2" w14:textId="77777777" w:rsidR="00332BAE" w:rsidRDefault="00000000">
            <w:r>
              <w:rPr>
                <w:rFonts w:ascii="Calibri" w:eastAsia="Calibri" w:hAnsi="Calibri" w:cs="Calibri"/>
                <w:b/>
                <w:bCs/>
                <w:color w:val="FFFFFF"/>
                <w:sz w:val="18"/>
                <w:szCs w:val="18"/>
              </w:rPr>
              <w:t>Author(s) &amp; Year</w:t>
            </w:r>
          </w:p>
        </w:tc>
        <w:tc>
          <w:tcPr>
            <w:tcW w:w="3400" w:type="dxa"/>
            <w:shd w:val="clear" w:color="auto" w:fill="2F5496"/>
            <w:tcMar>
              <w:top w:w="80" w:type="dxa"/>
              <w:left w:w="100" w:type="dxa"/>
              <w:bottom w:w="80" w:type="dxa"/>
              <w:right w:w="100" w:type="dxa"/>
            </w:tcMar>
            <w:vAlign w:val="center"/>
          </w:tcPr>
          <w:p w14:paraId="1CFC09FE" w14:textId="77777777" w:rsidR="00332BAE" w:rsidRDefault="00000000">
            <w:r>
              <w:rPr>
                <w:rFonts w:ascii="Calibri" w:eastAsia="Calibri" w:hAnsi="Calibri" w:cs="Calibri"/>
                <w:b/>
                <w:bCs/>
                <w:color w:val="FFFFFF"/>
                <w:sz w:val="18"/>
                <w:szCs w:val="18"/>
              </w:rPr>
              <w:t>Title / Focus</w:t>
            </w:r>
          </w:p>
        </w:tc>
        <w:tc>
          <w:tcPr>
            <w:tcW w:w="3780" w:type="dxa"/>
            <w:shd w:val="clear" w:color="auto" w:fill="2F5496"/>
            <w:tcMar>
              <w:top w:w="80" w:type="dxa"/>
              <w:left w:w="100" w:type="dxa"/>
              <w:bottom w:w="80" w:type="dxa"/>
              <w:right w:w="100" w:type="dxa"/>
            </w:tcMar>
            <w:vAlign w:val="center"/>
          </w:tcPr>
          <w:p w14:paraId="0C1817BD" w14:textId="77777777" w:rsidR="00332BAE" w:rsidRDefault="00000000">
            <w:r>
              <w:rPr>
                <w:rFonts w:ascii="Calibri" w:eastAsia="Calibri" w:hAnsi="Calibri" w:cs="Calibri"/>
                <w:b/>
                <w:bCs/>
                <w:color w:val="FFFFFF"/>
                <w:sz w:val="18"/>
                <w:szCs w:val="18"/>
              </w:rPr>
              <w:t>Method / Contribution</w:t>
            </w:r>
          </w:p>
        </w:tc>
      </w:tr>
      <w:tr w:rsidR="00332BAE" w14:paraId="16F73E00" w14:textId="77777777">
        <w:tc>
          <w:tcPr>
            <w:tcW w:w="500" w:type="dxa"/>
            <w:tcMar>
              <w:top w:w="60" w:type="dxa"/>
              <w:left w:w="100" w:type="dxa"/>
              <w:bottom w:w="60" w:type="dxa"/>
              <w:right w:w="100" w:type="dxa"/>
            </w:tcMar>
            <w:vAlign w:val="center"/>
          </w:tcPr>
          <w:p w14:paraId="016BE5C3" w14:textId="77777777" w:rsidR="00332BAE" w:rsidRDefault="00000000">
            <w:r>
              <w:rPr>
                <w:rFonts w:ascii="Calibri" w:eastAsia="Calibri" w:hAnsi="Calibri" w:cs="Calibri"/>
                <w:sz w:val="18"/>
                <w:szCs w:val="18"/>
              </w:rPr>
              <w:t>1</w:t>
            </w:r>
          </w:p>
        </w:tc>
        <w:tc>
          <w:tcPr>
            <w:tcW w:w="2400" w:type="dxa"/>
            <w:tcMar>
              <w:top w:w="60" w:type="dxa"/>
              <w:left w:w="100" w:type="dxa"/>
              <w:bottom w:w="60" w:type="dxa"/>
              <w:right w:w="100" w:type="dxa"/>
            </w:tcMar>
            <w:vAlign w:val="center"/>
          </w:tcPr>
          <w:p w14:paraId="235A0FE8" w14:textId="77777777" w:rsidR="00332BAE" w:rsidRDefault="00000000">
            <w:r>
              <w:rPr>
                <w:rFonts w:ascii="Calibri" w:eastAsia="Calibri" w:hAnsi="Calibri" w:cs="Calibri"/>
                <w:sz w:val="18"/>
                <w:szCs w:val="18"/>
              </w:rPr>
              <w:t>Pontiki et al., 2014 (SemEval-2014 Task 4)</w:t>
            </w:r>
          </w:p>
        </w:tc>
        <w:tc>
          <w:tcPr>
            <w:tcW w:w="3400" w:type="dxa"/>
            <w:tcMar>
              <w:top w:w="60" w:type="dxa"/>
              <w:left w:w="100" w:type="dxa"/>
              <w:bottom w:w="60" w:type="dxa"/>
              <w:right w:w="100" w:type="dxa"/>
            </w:tcMar>
            <w:vAlign w:val="center"/>
          </w:tcPr>
          <w:p w14:paraId="5120F53F" w14:textId="77777777" w:rsidR="00332BAE" w:rsidRDefault="00000000">
            <w:r>
              <w:rPr>
                <w:rFonts w:ascii="Calibri" w:eastAsia="Calibri" w:hAnsi="Calibri" w:cs="Calibri"/>
                <w:sz w:val="18"/>
                <w:szCs w:val="18"/>
              </w:rPr>
              <w:t>Aspect Based Sentiment Analysis (foundational ABSA task)</w:t>
            </w:r>
          </w:p>
        </w:tc>
        <w:tc>
          <w:tcPr>
            <w:tcW w:w="3780" w:type="dxa"/>
            <w:tcMar>
              <w:top w:w="60" w:type="dxa"/>
              <w:left w:w="100" w:type="dxa"/>
              <w:bottom w:w="60" w:type="dxa"/>
              <w:right w:w="100" w:type="dxa"/>
            </w:tcMar>
            <w:vAlign w:val="center"/>
          </w:tcPr>
          <w:p w14:paraId="786D5F8B" w14:textId="77777777" w:rsidR="00332BAE" w:rsidRDefault="00000000">
            <w:r>
              <w:rPr>
                <w:rFonts w:ascii="Calibri" w:eastAsia="Calibri" w:hAnsi="Calibri" w:cs="Calibri"/>
                <w:sz w:val="18"/>
                <w:szCs w:val="18"/>
              </w:rPr>
              <w:t>Introduced aspect-term extraction and aspect-level categorical polarity classification (restaurant &amp; laptop domains); established the ABSA task format later benchmarks build on.</w:t>
            </w:r>
          </w:p>
        </w:tc>
      </w:tr>
      <w:tr w:rsidR="00332BAE" w14:paraId="5265F4CF" w14:textId="77777777">
        <w:tc>
          <w:tcPr>
            <w:tcW w:w="500" w:type="dxa"/>
            <w:tcMar>
              <w:top w:w="60" w:type="dxa"/>
              <w:left w:w="100" w:type="dxa"/>
              <w:bottom w:w="60" w:type="dxa"/>
              <w:right w:w="100" w:type="dxa"/>
            </w:tcMar>
            <w:vAlign w:val="center"/>
          </w:tcPr>
          <w:p w14:paraId="26124C0F" w14:textId="77777777" w:rsidR="00332BAE" w:rsidRDefault="00000000">
            <w:r>
              <w:rPr>
                <w:rFonts w:ascii="Calibri" w:eastAsia="Calibri" w:hAnsi="Calibri" w:cs="Calibri"/>
                <w:sz w:val="18"/>
                <w:szCs w:val="18"/>
              </w:rPr>
              <w:t>2</w:t>
            </w:r>
          </w:p>
        </w:tc>
        <w:tc>
          <w:tcPr>
            <w:tcW w:w="2400" w:type="dxa"/>
            <w:tcMar>
              <w:top w:w="60" w:type="dxa"/>
              <w:left w:w="100" w:type="dxa"/>
              <w:bottom w:w="60" w:type="dxa"/>
              <w:right w:w="100" w:type="dxa"/>
            </w:tcMar>
            <w:vAlign w:val="center"/>
          </w:tcPr>
          <w:p w14:paraId="26FCAEEC" w14:textId="77777777" w:rsidR="00332BAE" w:rsidRDefault="00000000">
            <w:r>
              <w:rPr>
                <w:rFonts w:ascii="Calibri" w:eastAsia="Calibri" w:hAnsi="Calibri" w:cs="Calibri"/>
                <w:sz w:val="18"/>
                <w:szCs w:val="18"/>
              </w:rPr>
              <w:t>Pontiki et al., 2016 (SemEval-2016 Task 5)</w:t>
            </w:r>
          </w:p>
        </w:tc>
        <w:tc>
          <w:tcPr>
            <w:tcW w:w="3400" w:type="dxa"/>
            <w:tcMar>
              <w:top w:w="60" w:type="dxa"/>
              <w:left w:w="100" w:type="dxa"/>
              <w:bottom w:w="60" w:type="dxa"/>
              <w:right w:w="100" w:type="dxa"/>
            </w:tcMar>
            <w:vAlign w:val="center"/>
          </w:tcPr>
          <w:p w14:paraId="46CF548C" w14:textId="77777777" w:rsidR="00332BAE" w:rsidRDefault="00000000">
            <w:r>
              <w:rPr>
                <w:rFonts w:ascii="Calibri" w:eastAsia="Calibri" w:hAnsi="Calibri" w:cs="Calibri"/>
                <w:sz w:val="18"/>
                <w:szCs w:val="18"/>
              </w:rPr>
              <w:t>Aspect Based Sentiment Analysis (extended, multilingual)</w:t>
            </w:r>
          </w:p>
        </w:tc>
        <w:tc>
          <w:tcPr>
            <w:tcW w:w="3780" w:type="dxa"/>
            <w:tcMar>
              <w:top w:w="60" w:type="dxa"/>
              <w:left w:w="100" w:type="dxa"/>
              <w:bottom w:w="60" w:type="dxa"/>
              <w:right w:w="100" w:type="dxa"/>
            </w:tcMar>
            <w:vAlign w:val="center"/>
          </w:tcPr>
          <w:p w14:paraId="1AEB5D46" w14:textId="77777777" w:rsidR="00332BAE" w:rsidRDefault="00000000">
            <w:r>
              <w:rPr>
                <w:rFonts w:ascii="Calibri" w:eastAsia="Calibri" w:hAnsi="Calibri" w:cs="Calibri"/>
                <w:sz w:val="18"/>
                <w:szCs w:val="18"/>
              </w:rPr>
              <w:t>Extended ABSA to more domains and several languages; standardized aspect-category + polarity annotation schema across languages.</w:t>
            </w:r>
          </w:p>
        </w:tc>
      </w:tr>
      <w:tr w:rsidR="00332BAE" w14:paraId="11D10227" w14:textId="77777777">
        <w:tc>
          <w:tcPr>
            <w:tcW w:w="500" w:type="dxa"/>
            <w:tcMar>
              <w:top w:w="60" w:type="dxa"/>
              <w:left w:w="100" w:type="dxa"/>
              <w:bottom w:w="60" w:type="dxa"/>
              <w:right w:w="100" w:type="dxa"/>
            </w:tcMar>
            <w:vAlign w:val="center"/>
          </w:tcPr>
          <w:p w14:paraId="2C6D93C0" w14:textId="77777777" w:rsidR="00332BAE" w:rsidRDefault="00000000">
            <w:r>
              <w:rPr>
                <w:rFonts w:ascii="Calibri" w:eastAsia="Calibri" w:hAnsi="Calibri" w:cs="Calibri"/>
                <w:sz w:val="18"/>
                <w:szCs w:val="18"/>
              </w:rPr>
              <w:lastRenderedPageBreak/>
              <w:t>3</w:t>
            </w:r>
          </w:p>
        </w:tc>
        <w:tc>
          <w:tcPr>
            <w:tcW w:w="2400" w:type="dxa"/>
            <w:tcMar>
              <w:top w:w="60" w:type="dxa"/>
              <w:left w:w="100" w:type="dxa"/>
              <w:bottom w:w="60" w:type="dxa"/>
              <w:right w:w="100" w:type="dxa"/>
            </w:tcMar>
            <w:vAlign w:val="center"/>
          </w:tcPr>
          <w:p w14:paraId="02C9EB78" w14:textId="77777777" w:rsidR="00332BAE" w:rsidRDefault="00000000">
            <w:r>
              <w:rPr>
                <w:rFonts w:ascii="Calibri" w:eastAsia="Calibri" w:hAnsi="Calibri" w:cs="Calibri"/>
                <w:sz w:val="18"/>
                <w:szCs w:val="18"/>
              </w:rPr>
              <w:t>Mohammad, 2018</w:t>
            </w:r>
          </w:p>
        </w:tc>
        <w:tc>
          <w:tcPr>
            <w:tcW w:w="3400" w:type="dxa"/>
            <w:tcMar>
              <w:top w:w="60" w:type="dxa"/>
              <w:left w:w="100" w:type="dxa"/>
              <w:bottom w:w="60" w:type="dxa"/>
              <w:right w:w="100" w:type="dxa"/>
            </w:tcMar>
            <w:vAlign w:val="center"/>
          </w:tcPr>
          <w:p w14:paraId="175B0F59" w14:textId="77777777" w:rsidR="00332BAE" w:rsidRDefault="00000000">
            <w:r>
              <w:rPr>
                <w:rFonts w:ascii="Calibri" w:eastAsia="Calibri" w:hAnsi="Calibri" w:cs="Calibri"/>
                <w:sz w:val="18"/>
                <w:szCs w:val="18"/>
              </w:rPr>
              <w:t>Obtaining Reliable Human Ratings of Valence, Arousal &amp; Dominance for 20,000 English Words (NRC-VAD Lexicon)</w:t>
            </w:r>
          </w:p>
        </w:tc>
        <w:tc>
          <w:tcPr>
            <w:tcW w:w="3780" w:type="dxa"/>
            <w:tcMar>
              <w:top w:w="60" w:type="dxa"/>
              <w:left w:w="100" w:type="dxa"/>
              <w:bottom w:w="60" w:type="dxa"/>
              <w:right w:w="100" w:type="dxa"/>
            </w:tcMar>
            <w:vAlign w:val="center"/>
          </w:tcPr>
          <w:p w14:paraId="1B687804" w14:textId="77777777" w:rsidR="00332BAE" w:rsidRDefault="00000000">
            <w:r>
              <w:rPr>
                <w:rFonts w:ascii="Calibri" w:eastAsia="Calibri" w:hAnsi="Calibri" w:cs="Calibri"/>
                <w:sz w:val="18"/>
                <w:szCs w:val="18"/>
              </w:rPr>
              <w:t>Built a large word-level lexicon of continuous Valence-Arousal-Dominance ratings using best-worst scaling; later extended with translations to 100+ languages including Hindi.</w:t>
            </w:r>
          </w:p>
        </w:tc>
      </w:tr>
      <w:tr w:rsidR="00332BAE" w14:paraId="17725A99" w14:textId="77777777">
        <w:tc>
          <w:tcPr>
            <w:tcW w:w="500" w:type="dxa"/>
            <w:tcMar>
              <w:top w:w="60" w:type="dxa"/>
              <w:left w:w="100" w:type="dxa"/>
              <w:bottom w:w="60" w:type="dxa"/>
              <w:right w:w="100" w:type="dxa"/>
            </w:tcMar>
            <w:vAlign w:val="center"/>
          </w:tcPr>
          <w:p w14:paraId="1A4C5DB3" w14:textId="77777777" w:rsidR="00332BAE" w:rsidRDefault="00000000">
            <w:r>
              <w:rPr>
                <w:rFonts w:ascii="Calibri" w:eastAsia="Calibri" w:hAnsi="Calibri" w:cs="Calibri"/>
                <w:sz w:val="18"/>
                <w:szCs w:val="18"/>
              </w:rPr>
              <w:t>4</w:t>
            </w:r>
          </w:p>
        </w:tc>
        <w:tc>
          <w:tcPr>
            <w:tcW w:w="2400" w:type="dxa"/>
            <w:tcMar>
              <w:top w:w="60" w:type="dxa"/>
              <w:left w:w="100" w:type="dxa"/>
              <w:bottom w:w="60" w:type="dxa"/>
              <w:right w:w="100" w:type="dxa"/>
            </w:tcMar>
            <w:vAlign w:val="center"/>
          </w:tcPr>
          <w:p w14:paraId="7EB35319" w14:textId="77777777" w:rsidR="00332BAE" w:rsidRDefault="00000000">
            <w:r>
              <w:rPr>
                <w:rFonts w:ascii="Calibri" w:eastAsia="Calibri" w:hAnsi="Calibri" w:cs="Calibri"/>
                <w:sz w:val="18"/>
                <w:szCs w:val="18"/>
              </w:rPr>
              <w:t>Yu, Becker, Muhammad et al., 2026 (SemEval-2026 Task 3)</w:t>
            </w:r>
          </w:p>
        </w:tc>
        <w:tc>
          <w:tcPr>
            <w:tcW w:w="3400" w:type="dxa"/>
            <w:tcMar>
              <w:top w:w="60" w:type="dxa"/>
              <w:left w:w="100" w:type="dxa"/>
              <w:bottom w:w="60" w:type="dxa"/>
              <w:right w:w="100" w:type="dxa"/>
            </w:tcMar>
            <w:vAlign w:val="center"/>
          </w:tcPr>
          <w:p w14:paraId="4087D354" w14:textId="77777777" w:rsidR="00332BAE" w:rsidRDefault="00000000">
            <w:r>
              <w:rPr>
                <w:rFonts w:ascii="Calibri" w:eastAsia="Calibri" w:hAnsi="Calibri" w:cs="Calibri"/>
                <w:sz w:val="18"/>
                <w:szCs w:val="18"/>
              </w:rPr>
              <w:t>DimABSA: Dimensional Aspect-Based Sentiment Analysis</w:t>
            </w:r>
          </w:p>
        </w:tc>
        <w:tc>
          <w:tcPr>
            <w:tcW w:w="3780" w:type="dxa"/>
            <w:tcMar>
              <w:top w:w="60" w:type="dxa"/>
              <w:left w:w="100" w:type="dxa"/>
              <w:bottom w:w="60" w:type="dxa"/>
              <w:right w:w="100" w:type="dxa"/>
            </w:tcMar>
            <w:vAlign w:val="center"/>
          </w:tcPr>
          <w:p w14:paraId="35C31110" w14:textId="77777777" w:rsidR="00332BAE" w:rsidRDefault="00000000">
            <w:r>
              <w:rPr>
                <w:rFonts w:ascii="Calibri" w:eastAsia="Calibri" w:hAnsi="Calibri" w:cs="Calibri"/>
                <w:sz w:val="18"/>
                <w:szCs w:val="18"/>
              </w:rPr>
              <w:t>Introduced dimensional (valence-arousal) ABSA as regression instead of categorical polarity; 3 subtasks (regression, triplet, quadruplet extraction) across 11 languages; proposed the cF1 evaluation metric.</w:t>
            </w:r>
          </w:p>
        </w:tc>
      </w:tr>
      <w:tr w:rsidR="00332BAE" w14:paraId="3252334F" w14:textId="77777777">
        <w:tc>
          <w:tcPr>
            <w:tcW w:w="500" w:type="dxa"/>
            <w:tcMar>
              <w:top w:w="60" w:type="dxa"/>
              <w:left w:w="100" w:type="dxa"/>
              <w:bottom w:w="60" w:type="dxa"/>
              <w:right w:w="100" w:type="dxa"/>
            </w:tcMar>
            <w:vAlign w:val="center"/>
          </w:tcPr>
          <w:p w14:paraId="190A5383" w14:textId="77777777" w:rsidR="00332BAE" w:rsidRDefault="00000000">
            <w:r>
              <w:rPr>
                <w:rFonts w:ascii="Calibri" w:eastAsia="Calibri" w:hAnsi="Calibri" w:cs="Calibri"/>
                <w:sz w:val="18"/>
                <w:szCs w:val="18"/>
              </w:rPr>
              <w:t>5</w:t>
            </w:r>
          </w:p>
        </w:tc>
        <w:tc>
          <w:tcPr>
            <w:tcW w:w="2400" w:type="dxa"/>
            <w:tcMar>
              <w:top w:w="60" w:type="dxa"/>
              <w:left w:w="100" w:type="dxa"/>
              <w:bottom w:w="60" w:type="dxa"/>
              <w:right w:w="100" w:type="dxa"/>
            </w:tcMar>
            <w:vAlign w:val="center"/>
          </w:tcPr>
          <w:p w14:paraId="3C327758" w14:textId="77777777" w:rsidR="00332BAE" w:rsidRDefault="00000000">
            <w:r>
              <w:rPr>
                <w:rFonts w:ascii="Calibri" w:eastAsia="Calibri" w:hAnsi="Calibri" w:cs="Calibri"/>
                <w:sz w:val="18"/>
                <w:szCs w:val="18"/>
              </w:rPr>
              <w:t>Lee, Yu et al., 2026</w:t>
            </w:r>
          </w:p>
        </w:tc>
        <w:tc>
          <w:tcPr>
            <w:tcW w:w="3400" w:type="dxa"/>
            <w:tcMar>
              <w:top w:w="60" w:type="dxa"/>
              <w:left w:w="100" w:type="dxa"/>
              <w:bottom w:w="60" w:type="dxa"/>
              <w:right w:w="100" w:type="dxa"/>
            </w:tcMar>
            <w:vAlign w:val="center"/>
          </w:tcPr>
          <w:p w14:paraId="771951FE" w14:textId="77777777" w:rsidR="00332BAE" w:rsidRDefault="00000000">
            <w:r>
              <w:rPr>
                <w:rFonts w:ascii="Calibri" w:eastAsia="Calibri" w:hAnsi="Calibri" w:cs="Calibri"/>
                <w:sz w:val="18"/>
                <w:szCs w:val="18"/>
              </w:rPr>
              <w:t>DimABSA: Building Multilingual and Multidomain Datasets for Dimensional ABSA</w:t>
            </w:r>
          </w:p>
        </w:tc>
        <w:tc>
          <w:tcPr>
            <w:tcW w:w="3780" w:type="dxa"/>
            <w:tcMar>
              <w:top w:w="60" w:type="dxa"/>
              <w:left w:w="100" w:type="dxa"/>
              <w:bottom w:w="60" w:type="dxa"/>
              <w:right w:w="100" w:type="dxa"/>
            </w:tcMar>
            <w:vAlign w:val="center"/>
          </w:tcPr>
          <w:p w14:paraId="216B741D" w14:textId="77777777" w:rsidR="00332BAE" w:rsidRDefault="00000000">
            <w:r>
              <w:rPr>
                <w:rFonts w:ascii="Calibri" w:eastAsia="Calibri" w:hAnsi="Calibri" w:cs="Calibri"/>
                <w:sz w:val="18"/>
                <w:szCs w:val="18"/>
              </w:rPr>
              <w:t>Describes construction methodology of the DimABSA multilingual/multidomain dataset used for the SemEval-2026 shared task.</w:t>
            </w:r>
          </w:p>
        </w:tc>
      </w:tr>
      <w:tr w:rsidR="00332BAE" w14:paraId="25521BAB" w14:textId="77777777">
        <w:tc>
          <w:tcPr>
            <w:tcW w:w="500" w:type="dxa"/>
            <w:tcMar>
              <w:top w:w="60" w:type="dxa"/>
              <w:left w:w="100" w:type="dxa"/>
              <w:bottom w:w="60" w:type="dxa"/>
              <w:right w:w="100" w:type="dxa"/>
            </w:tcMar>
            <w:vAlign w:val="center"/>
          </w:tcPr>
          <w:p w14:paraId="16872F13" w14:textId="77777777" w:rsidR="00332BAE" w:rsidRDefault="00000000">
            <w:r>
              <w:rPr>
                <w:rFonts w:ascii="Calibri" w:eastAsia="Calibri" w:hAnsi="Calibri" w:cs="Calibri"/>
                <w:sz w:val="18"/>
                <w:szCs w:val="18"/>
              </w:rPr>
              <w:t>6</w:t>
            </w:r>
          </w:p>
        </w:tc>
        <w:tc>
          <w:tcPr>
            <w:tcW w:w="2400" w:type="dxa"/>
            <w:tcMar>
              <w:top w:w="60" w:type="dxa"/>
              <w:left w:w="100" w:type="dxa"/>
              <w:bottom w:w="60" w:type="dxa"/>
              <w:right w:w="100" w:type="dxa"/>
            </w:tcMar>
            <w:vAlign w:val="center"/>
          </w:tcPr>
          <w:p w14:paraId="5B25A96B" w14:textId="77777777" w:rsidR="00332BAE" w:rsidRDefault="00000000">
            <w:r>
              <w:rPr>
                <w:rFonts w:ascii="Calibri" w:eastAsia="Calibri" w:hAnsi="Calibri" w:cs="Calibri"/>
                <w:sz w:val="18"/>
                <w:szCs w:val="18"/>
              </w:rPr>
              <w:t>Gazetas, Filandrianos et al., 2026</w:t>
            </w:r>
          </w:p>
        </w:tc>
        <w:tc>
          <w:tcPr>
            <w:tcW w:w="3400" w:type="dxa"/>
            <w:tcMar>
              <w:top w:w="60" w:type="dxa"/>
              <w:left w:w="100" w:type="dxa"/>
              <w:bottom w:w="60" w:type="dxa"/>
              <w:right w:w="100" w:type="dxa"/>
            </w:tcMar>
            <w:vAlign w:val="center"/>
          </w:tcPr>
          <w:p w14:paraId="4EE14C94" w14:textId="77777777" w:rsidR="00332BAE" w:rsidRDefault="00000000">
            <w:r>
              <w:rPr>
                <w:rFonts w:ascii="Calibri" w:eastAsia="Calibri" w:hAnsi="Calibri" w:cs="Calibri"/>
                <w:sz w:val="18"/>
                <w:szCs w:val="18"/>
              </w:rPr>
              <w:t>AILS-NTUA at SemEval-2026 Task 3: Efficient Dimensional ABSA</w:t>
            </w:r>
          </w:p>
        </w:tc>
        <w:tc>
          <w:tcPr>
            <w:tcW w:w="3780" w:type="dxa"/>
            <w:tcMar>
              <w:top w:w="60" w:type="dxa"/>
              <w:left w:w="100" w:type="dxa"/>
              <w:bottom w:w="60" w:type="dxa"/>
              <w:right w:w="100" w:type="dxa"/>
            </w:tcMar>
            <w:vAlign w:val="center"/>
          </w:tcPr>
          <w:p w14:paraId="3443BA62" w14:textId="77777777" w:rsidR="00332BAE" w:rsidRDefault="00000000">
            <w:r>
              <w:rPr>
                <w:rFonts w:ascii="Calibri" w:eastAsia="Calibri" w:hAnsi="Calibri" w:cs="Calibri"/>
                <w:sz w:val="18"/>
                <w:szCs w:val="18"/>
              </w:rPr>
              <w:t>Top-performing DimABSA system combining fine-tuned multilingual encoders for regression with LoRA-tuned LLMs for structured triplet/quadruplet extraction.</w:t>
            </w:r>
          </w:p>
        </w:tc>
      </w:tr>
      <w:tr w:rsidR="00332BAE" w14:paraId="67872156" w14:textId="77777777">
        <w:tc>
          <w:tcPr>
            <w:tcW w:w="500" w:type="dxa"/>
            <w:tcMar>
              <w:top w:w="60" w:type="dxa"/>
              <w:left w:w="100" w:type="dxa"/>
              <w:bottom w:w="60" w:type="dxa"/>
              <w:right w:w="100" w:type="dxa"/>
            </w:tcMar>
            <w:vAlign w:val="center"/>
          </w:tcPr>
          <w:p w14:paraId="59FC2F55" w14:textId="77777777" w:rsidR="00332BAE" w:rsidRDefault="00000000">
            <w:r>
              <w:rPr>
                <w:rFonts w:ascii="Calibri" w:eastAsia="Calibri" w:hAnsi="Calibri" w:cs="Calibri"/>
                <w:sz w:val="18"/>
                <w:szCs w:val="18"/>
              </w:rPr>
              <w:t>7</w:t>
            </w:r>
          </w:p>
        </w:tc>
        <w:tc>
          <w:tcPr>
            <w:tcW w:w="2400" w:type="dxa"/>
            <w:tcMar>
              <w:top w:w="60" w:type="dxa"/>
              <w:left w:w="100" w:type="dxa"/>
              <w:bottom w:w="60" w:type="dxa"/>
              <w:right w:w="100" w:type="dxa"/>
            </w:tcMar>
            <w:vAlign w:val="center"/>
          </w:tcPr>
          <w:p w14:paraId="3AB0C345" w14:textId="77777777" w:rsidR="00332BAE" w:rsidRDefault="00000000">
            <w:r>
              <w:rPr>
                <w:rFonts w:ascii="Calibri" w:eastAsia="Calibri" w:hAnsi="Calibri" w:cs="Calibri"/>
                <w:sz w:val="18"/>
                <w:szCs w:val="18"/>
              </w:rPr>
              <w:t>Zhu, Zhao, Wang et al., 2024 (SIGHAN-2024 dimABSA Task)</w:t>
            </w:r>
          </w:p>
        </w:tc>
        <w:tc>
          <w:tcPr>
            <w:tcW w:w="3400" w:type="dxa"/>
            <w:tcMar>
              <w:top w:w="60" w:type="dxa"/>
              <w:left w:w="100" w:type="dxa"/>
              <w:bottom w:w="60" w:type="dxa"/>
              <w:right w:w="100" w:type="dxa"/>
            </w:tcMar>
            <w:vAlign w:val="center"/>
          </w:tcPr>
          <w:p w14:paraId="2A3FFD6B" w14:textId="77777777" w:rsidR="00332BAE" w:rsidRDefault="00000000">
            <w:r>
              <w:rPr>
                <w:rFonts w:ascii="Calibri" w:eastAsia="Calibri" w:hAnsi="Calibri" w:cs="Calibri"/>
                <w:sz w:val="18"/>
                <w:szCs w:val="18"/>
              </w:rPr>
              <w:t>ZZU-NLP at SIGHAN-2024 dimABSA Task: Coarse-to-Fine In-Context Learning</w:t>
            </w:r>
          </w:p>
        </w:tc>
        <w:tc>
          <w:tcPr>
            <w:tcW w:w="3780" w:type="dxa"/>
            <w:tcMar>
              <w:top w:w="60" w:type="dxa"/>
              <w:left w:w="100" w:type="dxa"/>
              <w:bottom w:w="60" w:type="dxa"/>
              <w:right w:w="100" w:type="dxa"/>
            </w:tcMar>
            <w:vAlign w:val="center"/>
          </w:tcPr>
          <w:p w14:paraId="73E9B30E" w14:textId="77777777" w:rsidR="00332BAE" w:rsidRDefault="00000000">
            <w:r>
              <w:rPr>
                <w:rFonts w:ascii="Calibri" w:eastAsia="Calibri" w:hAnsi="Calibri" w:cs="Calibri"/>
                <w:sz w:val="18"/>
                <w:szCs w:val="18"/>
              </w:rPr>
              <w:t>Earlier (pre-DimABSA/SemEval-2026) dimensional ABSA system for Chinese restaurant reviews predicting per-aspect Valence and Arousal via a two-stage in-context-learning method with an LLM.</w:t>
            </w:r>
          </w:p>
        </w:tc>
      </w:tr>
      <w:tr w:rsidR="00332BAE" w14:paraId="29B29172" w14:textId="77777777">
        <w:tc>
          <w:tcPr>
            <w:tcW w:w="500" w:type="dxa"/>
            <w:tcMar>
              <w:top w:w="60" w:type="dxa"/>
              <w:left w:w="100" w:type="dxa"/>
              <w:bottom w:w="60" w:type="dxa"/>
              <w:right w:w="100" w:type="dxa"/>
            </w:tcMar>
            <w:vAlign w:val="center"/>
          </w:tcPr>
          <w:p w14:paraId="4616C6D2" w14:textId="77777777" w:rsidR="00332BAE" w:rsidRDefault="00000000">
            <w:r>
              <w:rPr>
                <w:rFonts w:ascii="Calibri" w:eastAsia="Calibri" w:hAnsi="Calibri" w:cs="Calibri"/>
                <w:sz w:val="18"/>
                <w:szCs w:val="18"/>
              </w:rPr>
              <w:t>8</w:t>
            </w:r>
          </w:p>
        </w:tc>
        <w:tc>
          <w:tcPr>
            <w:tcW w:w="2400" w:type="dxa"/>
            <w:tcMar>
              <w:top w:w="60" w:type="dxa"/>
              <w:left w:w="100" w:type="dxa"/>
              <w:bottom w:w="60" w:type="dxa"/>
              <w:right w:w="100" w:type="dxa"/>
            </w:tcMar>
            <w:vAlign w:val="center"/>
          </w:tcPr>
          <w:p w14:paraId="72D63350" w14:textId="77777777" w:rsidR="00332BAE" w:rsidRDefault="00000000">
            <w:r>
              <w:rPr>
                <w:rFonts w:ascii="Calibri" w:eastAsia="Calibri" w:hAnsi="Calibri" w:cs="Calibri"/>
                <w:sz w:val="18"/>
                <w:szCs w:val="18"/>
              </w:rPr>
              <w:t>Aguilar et al., 2020</w:t>
            </w:r>
          </w:p>
        </w:tc>
        <w:tc>
          <w:tcPr>
            <w:tcW w:w="3400" w:type="dxa"/>
            <w:tcMar>
              <w:top w:w="60" w:type="dxa"/>
              <w:left w:w="100" w:type="dxa"/>
              <w:bottom w:w="60" w:type="dxa"/>
              <w:right w:w="100" w:type="dxa"/>
            </w:tcMar>
            <w:vAlign w:val="center"/>
          </w:tcPr>
          <w:p w14:paraId="1E7B79C7" w14:textId="77777777" w:rsidR="00332BAE" w:rsidRDefault="00000000">
            <w:r>
              <w:rPr>
                <w:rFonts w:ascii="Calibri" w:eastAsia="Calibri" w:hAnsi="Calibri" w:cs="Calibri"/>
                <w:sz w:val="18"/>
                <w:szCs w:val="18"/>
              </w:rPr>
              <w:t>LinCE: A Centralized Benchmark for Linguistic Code-Switching Evaluation</w:t>
            </w:r>
          </w:p>
        </w:tc>
        <w:tc>
          <w:tcPr>
            <w:tcW w:w="3780" w:type="dxa"/>
            <w:tcMar>
              <w:top w:w="60" w:type="dxa"/>
              <w:left w:w="100" w:type="dxa"/>
              <w:bottom w:w="60" w:type="dxa"/>
              <w:right w:w="100" w:type="dxa"/>
            </w:tcMar>
            <w:vAlign w:val="center"/>
          </w:tcPr>
          <w:p w14:paraId="01FB888F" w14:textId="77777777" w:rsidR="00332BAE" w:rsidRDefault="00000000">
            <w:r>
              <w:rPr>
                <w:rFonts w:ascii="Calibri" w:eastAsia="Calibri" w:hAnsi="Calibri" w:cs="Calibri"/>
                <w:sz w:val="18"/>
                <w:szCs w:val="18"/>
              </w:rPr>
              <w:t>Centralized, standardized benchmark aggregating multiple code-switched NLP tasks (incl. Hinglish sentiment) for fair comparison.</w:t>
            </w:r>
          </w:p>
        </w:tc>
      </w:tr>
      <w:tr w:rsidR="00332BAE" w14:paraId="60E96027" w14:textId="77777777">
        <w:tc>
          <w:tcPr>
            <w:tcW w:w="500" w:type="dxa"/>
            <w:tcMar>
              <w:top w:w="60" w:type="dxa"/>
              <w:left w:w="100" w:type="dxa"/>
              <w:bottom w:w="60" w:type="dxa"/>
              <w:right w:w="100" w:type="dxa"/>
            </w:tcMar>
            <w:vAlign w:val="center"/>
          </w:tcPr>
          <w:p w14:paraId="42827E6F" w14:textId="77777777" w:rsidR="00332BAE" w:rsidRDefault="00000000">
            <w:r>
              <w:rPr>
                <w:rFonts w:ascii="Calibri" w:eastAsia="Calibri" w:hAnsi="Calibri" w:cs="Calibri"/>
                <w:sz w:val="18"/>
                <w:szCs w:val="18"/>
              </w:rPr>
              <w:t>9</w:t>
            </w:r>
          </w:p>
        </w:tc>
        <w:tc>
          <w:tcPr>
            <w:tcW w:w="2400" w:type="dxa"/>
            <w:tcMar>
              <w:top w:w="60" w:type="dxa"/>
              <w:left w:w="100" w:type="dxa"/>
              <w:bottom w:w="60" w:type="dxa"/>
              <w:right w:w="100" w:type="dxa"/>
            </w:tcMar>
            <w:vAlign w:val="center"/>
          </w:tcPr>
          <w:p w14:paraId="233945C3" w14:textId="77777777" w:rsidR="00332BAE" w:rsidRDefault="00000000">
            <w:r>
              <w:rPr>
                <w:rFonts w:ascii="Calibri" w:eastAsia="Calibri" w:hAnsi="Calibri" w:cs="Calibri"/>
                <w:sz w:val="18"/>
                <w:szCs w:val="18"/>
              </w:rPr>
              <w:t>Khanuja et al., 2020</w:t>
            </w:r>
          </w:p>
        </w:tc>
        <w:tc>
          <w:tcPr>
            <w:tcW w:w="3400" w:type="dxa"/>
            <w:tcMar>
              <w:top w:w="60" w:type="dxa"/>
              <w:left w:w="100" w:type="dxa"/>
              <w:bottom w:w="60" w:type="dxa"/>
              <w:right w:w="100" w:type="dxa"/>
            </w:tcMar>
            <w:vAlign w:val="center"/>
          </w:tcPr>
          <w:p w14:paraId="673610B8" w14:textId="77777777" w:rsidR="00332BAE" w:rsidRDefault="00000000">
            <w:r>
              <w:rPr>
                <w:rFonts w:ascii="Calibri" w:eastAsia="Calibri" w:hAnsi="Calibri" w:cs="Calibri"/>
                <w:sz w:val="18"/>
                <w:szCs w:val="18"/>
              </w:rPr>
              <w:t>GLUECoS: An Evaluation Benchmark for Code-Switched NLP</w:t>
            </w:r>
          </w:p>
        </w:tc>
        <w:tc>
          <w:tcPr>
            <w:tcW w:w="3780" w:type="dxa"/>
            <w:tcMar>
              <w:top w:w="60" w:type="dxa"/>
              <w:left w:w="100" w:type="dxa"/>
              <w:bottom w:w="60" w:type="dxa"/>
              <w:right w:w="100" w:type="dxa"/>
            </w:tcMar>
            <w:vAlign w:val="center"/>
          </w:tcPr>
          <w:p w14:paraId="202C5C9B" w14:textId="77777777" w:rsidR="00332BAE" w:rsidRDefault="00000000">
            <w:r>
              <w:rPr>
                <w:rFonts w:ascii="Calibri" w:eastAsia="Calibri" w:hAnsi="Calibri" w:cs="Calibri"/>
                <w:sz w:val="18"/>
                <w:szCs w:val="18"/>
              </w:rPr>
              <w:t>GLUE-style multi-task benchmark for code-switched Hindi-English and Spanish-English, including sentiment analysis.</w:t>
            </w:r>
          </w:p>
        </w:tc>
      </w:tr>
      <w:tr w:rsidR="00332BAE" w14:paraId="6972BAEA" w14:textId="77777777">
        <w:tc>
          <w:tcPr>
            <w:tcW w:w="500" w:type="dxa"/>
            <w:tcMar>
              <w:top w:w="60" w:type="dxa"/>
              <w:left w:w="100" w:type="dxa"/>
              <w:bottom w:w="60" w:type="dxa"/>
              <w:right w:w="100" w:type="dxa"/>
            </w:tcMar>
            <w:vAlign w:val="center"/>
          </w:tcPr>
          <w:p w14:paraId="741A9AB2" w14:textId="77777777" w:rsidR="00332BAE" w:rsidRDefault="00000000">
            <w:r>
              <w:rPr>
                <w:rFonts w:ascii="Calibri" w:eastAsia="Calibri" w:hAnsi="Calibri" w:cs="Calibri"/>
                <w:sz w:val="18"/>
                <w:szCs w:val="18"/>
              </w:rPr>
              <w:t>10</w:t>
            </w:r>
          </w:p>
        </w:tc>
        <w:tc>
          <w:tcPr>
            <w:tcW w:w="2400" w:type="dxa"/>
            <w:tcMar>
              <w:top w:w="60" w:type="dxa"/>
              <w:left w:w="100" w:type="dxa"/>
              <w:bottom w:w="60" w:type="dxa"/>
              <w:right w:w="100" w:type="dxa"/>
            </w:tcMar>
            <w:vAlign w:val="center"/>
          </w:tcPr>
          <w:p w14:paraId="3BAD9966" w14:textId="77777777" w:rsidR="00332BAE" w:rsidRDefault="00000000">
            <w:r>
              <w:rPr>
                <w:rFonts w:ascii="Calibri" w:eastAsia="Calibri" w:hAnsi="Calibri" w:cs="Calibri"/>
                <w:sz w:val="18"/>
                <w:szCs w:val="18"/>
              </w:rPr>
              <w:t>Joshi et al., 2016</w:t>
            </w:r>
          </w:p>
        </w:tc>
        <w:tc>
          <w:tcPr>
            <w:tcW w:w="3400" w:type="dxa"/>
            <w:tcMar>
              <w:top w:w="60" w:type="dxa"/>
              <w:left w:w="100" w:type="dxa"/>
              <w:bottom w:w="60" w:type="dxa"/>
              <w:right w:w="100" w:type="dxa"/>
            </w:tcMar>
            <w:vAlign w:val="center"/>
          </w:tcPr>
          <w:p w14:paraId="0DE2A5EA" w14:textId="77777777" w:rsidR="00332BAE" w:rsidRDefault="00000000">
            <w:r>
              <w:rPr>
                <w:rFonts w:ascii="Calibri" w:eastAsia="Calibri" w:hAnsi="Calibri" w:cs="Calibri"/>
                <w:sz w:val="18"/>
                <w:szCs w:val="18"/>
              </w:rPr>
              <w:t>Hinglish Sentiment Analysis Dataset</w:t>
            </w:r>
          </w:p>
        </w:tc>
        <w:tc>
          <w:tcPr>
            <w:tcW w:w="3780" w:type="dxa"/>
            <w:tcMar>
              <w:top w:w="60" w:type="dxa"/>
              <w:left w:w="100" w:type="dxa"/>
              <w:bottom w:w="60" w:type="dxa"/>
              <w:right w:w="100" w:type="dxa"/>
            </w:tcMar>
            <w:vAlign w:val="center"/>
          </w:tcPr>
          <w:p w14:paraId="4B03BCE7" w14:textId="77777777" w:rsidR="00332BAE" w:rsidRDefault="00000000">
            <w:r>
              <w:rPr>
                <w:rFonts w:ascii="Calibri" w:eastAsia="Calibri" w:hAnsi="Calibri" w:cs="Calibri"/>
                <w:sz w:val="18"/>
                <w:szCs w:val="18"/>
              </w:rPr>
              <w:t>~3,879 Hindi-English code-mixed Facebook posts annotated with 3-class sentiment; one of the earliest Hinglish sentiment resources.</w:t>
            </w:r>
          </w:p>
        </w:tc>
      </w:tr>
      <w:tr w:rsidR="00332BAE" w14:paraId="235D3AB0" w14:textId="77777777">
        <w:tc>
          <w:tcPr>
            <w:tcW w:w="500" w:type="dxa"/>
            <w:tcMar>
              <w:top w:w="60" w:type="dxa"/>
              <w:left w:w="100" w:type="dxa"/>
              <w:bottom w:w="60" w:type="dxa"/>
              <w:right w:w="100" w:type="dxa"/>
            </w:tcMar>
            <w:vAlign w:val="center"/>
          </w:tcPr>
          <w:p w14:paraId="71798A68" w14:textId="77777777" w:rsidR="00332BAE" w:rsidRDefault="00000000">
            <w:r>
              <w:rPr>
                <w:rFonts w:ascii="Calibri" w:eastAsia="Calibri" w:hAnsi="Calibri" w:cs="Calibri"/>
                <w:sz w:val="18"/>
                <w:szCs w:val="18"/>
              </w:rPr>
              <w:t>11</w:t>
            </w:r>
          </w:p>
        </w:tc>
        <w:tc>
          <w:tcPr>
            <w:tcW w:w="2400" w:type="dxa"/>
            <w:tcMar>
              <w:top w:w="60" w:type="dxa"/>
              <w:left w:w="100" w:type="dxa"/>
              <w:bottom w:w="60" w:type="dxa"/>
              <w:right w:w="100" w:type="dxa"/>
            </w:tcMar>
            <w:vAlign w:val="center"/>
          </w:tcPr>
          <w:p w14:paraId="5EBFAB18" w14:textId="77777777" w:rsidR="00332BAE" w:rsidRDefault="00000000">
            <w:r>
              <w:rPr>
                <w:rFonts w:ascii="Calibri" w:eastAsia="Calibri" w:hAnsi="Calibri" w:cs="Calibri"/>
                <w:sz w:val="18"/>
                <w:szCs w:val="18"/>
              </w:rPr>
              <w:t>Raihan, Goswami et al., 2024</w:t>
            </w:r>
          </w:p>
        </w:tc>
        <w:tc>
          <w:tcPr>
            <w:tcW w:w="3400" w:type="dxa"/>
            <w:tcMar>
              <w:top w:w="60" w:type="dxa"/>
              <w:left w:w="100" w:type="dxa"/>
              <w:bottom w:w="60" w:type="dxa"/>
              <w:right w:w="100" w:type="dxa"/>
            </w:tcMar>
            <w:vAlign w:val="center"/>
          </w:tcPr>
          <w:p w14:paraId="7A13A689" w14:textId="77777777" w:rsidR="00332BAE" w:rsidRDefault="00000000">
            <w:r>
              <w:rPr>
                <w:rFonts w:ascii="Calibri" w:eastAsia="Calibri" w:hAnsi="Calibri" w:cs="Calibri"/>
                <w:sz w:val="18"/>
                <w:szCs w:val="18"/>
              </w:rPr>
              <w:t>Code-Mixed Sentiment and Hate-Speech Prediction</w:t>
            </w:r>
          </w:p>
        </w:tc>
        <w:tc>
          <w:tcPr>
            <w:tcW w:w="3780" w:type="dxa"/>
            <w:tcMar>
              <w:top w:w="60" w:type="dxa"/>
              <w:left w:w="100" w:type="dxa"/>
              <w:bottom w:w="60" w:type="dxa"/>
              <w:right w:w="100" w:type="dxa"/>
            </w:tcMar>
            <w:vAlign w:val="center"/>
          </w:tcPr>
          <w:p w14:paraId="5EE8C869" w14:textId="77777777" w:rsidR="00332BAE" w:rsidRDefault="00000000">
            <w:r>
              <w:rPr>
                <w:rFonts w:ascii="Calibri" w:eastAsia="Calibri" w:hAnsi="Calibri" w:cs="Calibri"/>
                <w:sz w:val="18"/>
                <w:szCs w:val="18"/>
              </w:rPr>
              <w:t>Studies joint sentiment and hate-speech prediction on code-mixed social media text, evaluating multilingual transformer models across code-mixed language pairs.</w:t>
            </w:r>
          </w:p>
        </w:tc>
      </w:tr>
      <w:tr w:rsidR="00332BAE" w14:paraId="3FE7E76B" w14:textId="77777777">
        <w:tc>
          <w:tcPr>
            <w:tcW w:w="500" w:type="dxa"/>
            <w:tcMar>
              <w:top w:w="60" w:type="dxa"/>
              <w:left w:w="100" w:type="dxa"/>
              <w:bottom w:w="60" w:type="dxa"/>
              <w:right w:w="100" w:type="dxa"/>
            </w:tcMar>
            <w:vAlign w:val="center"/>
          </w:tcPr>
          <w:p w14:paraId="4AA143E9" w14:textId="77777777" w:rsidR="00332BAE" w:rsidRDefault="00000000">
            <w:r>
              <w:rPr>
                <w:rFonts w:ascii="Calibri" w:eastAsia="Calibri" w:hAnsi="Calibri" w:cs="Calibri"/>
                <w:sz w:val="18"/>
                <w:szCs w:val="18"/>
              </w:rPr>
              <w:t>12</w:t>
            </w:r>
          </w:p>
        </w:tc>
        <w:tc>
          <w:tcPr>
            <w:tcW w:w="2400" w:type="dxa"/>
            <w:tcMar>
              <w:top w:w="60" w:type="dxa"/>
              <w:left w:w="100" w:type="dxa"/>
              <w:bottom w:w="60" w:type="dxa"/>
              <w:right w:w="100" w:type="dxa"/>
            </w:tcMar>
            <w:vAlign w:val="center"/>
          </w:tcPr>
          <w:p w14:paraId="27B7108C" w14:textId="77777777" w:rsidR="00332BAE" w:rsidRDefault="00000000">
            <w:r>
              <w:rPr>
                <w:rFonts w:ascii="Calibri" w:eastAsia="Calibri" w:hAnsi="Calibri" w:cs="Calibri"/>
                <w:sz w:val="18"/>
                <w:szCs w:val="18"/>
              </w:rPr>
              <w:t>Nayak &amp; Joshi, 2022 (L3Cube)</w:t>
            </w:r>
          </w:p>
        </w:tc>
        <w:tc>
          <w:tcPr>
            <w:tcW w:w="3400" w:type="dxa"/>
            <w:tcMar>
              <w:top w:w="60" w:type="dxa"/>
              <w:left w:w="100" w:type="dxa"/>
              <w:bottom w:w="60" w:type="dxa"/>
              <w:right w:w="100" w:type="dxa"/>
            </w:tcMar>
            <w:vAlign w:val="center"/>
          </w:tcPr>
          <w:p w14:paraId="3502889A" w14:textId="77777777" w:rsidR="00332BAE" w:rsidRDefault="00000000">
            <w:r>
              <w:rPr>
                <w:rFonts w:ascii="Calibri" w:eastAsia="Calibri" w:hAnsi="Calibri" w:cs="Calibri"/>
                <w:sz w:val="18"/>
                <w:szCs w:val="18"/>
              </w:rPr>
              <w:t>L3Cube-HingCorpus and HingBERT</w:t>
            </w:r>
          </w:p>
        </w:tc>
        <w:tc>
          <w:tcPr>
            <w:tcW w:w="3780" w:type="dxa"/>
            <w:tcMar>
              <w:top w:w="60" w:type="dxa"/>
              <w:left w:w="100" w:type="dxa"/>
              <w:bottom w:w="60" w:type="dxa"/>
              <w:right w:w="100" w:type="dxa"/>
            </w:tcMar>
            <w:vAlign w:val="center"/>
          </w:tcPr>
          <w:p w14:paraId="3D3F4932" w14:textId="77777777" w:rsidR="00332BAE" w:rsidRDefault="00000000">
            <w:r>
              <w:rPr>
                <w:rFonts w:ascii="Calibri" w:eastAsia="Calibri" w:hAnsi="Calibri" w:cs="Calibri"/>
                <w:sz w:val="18"/>
                <w:szCs w:val="18"/>
              </w:rPr>
              <w:t>Released the largest real Hindi-English code-mixed corpus (52.9M sentences, 1.04B tokens, scraped from Twitter) plus pretrained HingBERT/HingMBERT/HingRoBERTa language models.</w:t>
            </w:r>
          </w:p>
        </w:tc>
      </w:tr>
      <w:tr w:rsidR="00332BAE" w14:paraId="14877ECD" w14:textId="77777777">
        <w:tc>
          <w:tcPr>
            <w:tcW w:w="500" w:type="dxa"/>
            <w:tcMar>
              <w:top w:w="60" w:type="dxa"/>
              <w:left w:w="100" w:type="dxa"/>
              <w:bottom w:w="60" w:type="dxa"/>
              <w:right w:w="100" w:type="dxa"/>
            </w:tcMar>
            <w:vAlign w:val="center"/>
          </w:tcPr>
          <w:p w14:paraId="3EA5CF0F" w14:textId="77777777" w:rsidR="00332BAE" w:rsidRDefault="00000000">
            <w:r>
              <w:rPr>
                <w:rFonts w:ascii="Calibri" w:eastAsia="Calibri" w:hAnsi="Calibri" w:cs="Calibri"/>
                <w:sz w:val="18"/>
                <w:szCs w:val="18"/>
              </w:rPr>
              <w:t>13</w:t>
            </w:r>
          </w:p>
        </w:tc>
        <w:tc>
          <w:tcPr>
            <w:tcW w:w="2400" w:type="dxa"/>
            <w:tcMar>
              <w:top w:w="60" w:type="dxa"/>
              <w:left w:w="100" w:type="dxa"/>
              <w:bottom w:w="60" w:type="dxa"/>
              <w:right w:w="100" w:type="dxa"/>
            </w:tcMar>
            <w:vAlign w:val="center"/>
          </w:tcPr>
          <w:p w14:paraId="7A054E75" w14:textId="77777777" w:rsidR="00332BAE" w:rsidRDefault="00000000">
            <w:r>
              <w:rPr>
                <w:rFonts w:ascii="Calibri" w:eastAsia="Calibri" w:hAnsi="Calibri" w:cs="Calibri"/>
                <w:sz w:val="18"/>
                <w:szCs w:val="18"/>
              </w:rPr>
              <w:t>Sheth, Nisar et al., 2025</w:t>
            </w:r>
          </w:p>
        </w:tc>
        <w:tc>
          <w:tcPr>
            <w:tcW w:w="3400" w:type="dxa"/>
            <w:tcMar>
              <w:top w:w="60" w:type="dxa"/>
              <w:left w:w="100" w:type="dxa"/>
              <w:bottom w:w="60" w:type="dxa"/>
              <w:right w:w="100" w:type="dxa"/>
            </w:tcMar>
            <w:vAlign w:val="center"/>
          </w:tcPr>
          <w:p w14:paraId="389FE0CE" w14:textId="77777777" w:rsidR="00332BAE" w:rsidRDefault="00000000">
            <w:r>
              <w:rPr>
                <w:rFonts w:ascii="Calibri" w:eastAsia="Calibri" w:hAnsi="Calibri" w:cs="Calibri"/>
                <w:sz w:val="18"/>
                <w:szCs w:val="18"/>
              </w:rPr>
              <w:t>COMI-LINGUA: Expert-Annotated Large-Scale Dataset for Multitask NLP in Hindi-English Code-Mixing</w:t>
            </w:r>
          </w:p>
        </w:tc>
        <w:tc>
          <w:tcPr>
            <w:tcW w:w="3780" w:type="dxa"/>
            <w:tcMar>
              <w:top w:w="60" w:type="dxa"/>
              <w:left w:w="100" w:type="dxa"/>
              <w:bottom w:w="60" w:type="dxa"/>
              <w:right w:w="100" w:type="dxa"/>
            </w:tcMar>
            <w:vAlign w:val="center"/>
          </w:tcPr>
          <w:p w14:paraId="688013E1" w14:textId="77777777" w:rsidR="00332BAE" w:rsidRDefault="00000000">
            <w:r>
              <w:rPr>
                <w:rFonts w:ascii="Calibri" w:eastAsia="Calibri" w:hAnsi="Calibri" w:cs="Calibri"/>
                <w:sz w:val="18"/>
                <w:szCs w:val="18"/>
              </w:rPr>
              <w:t>181,463-instance, expert-annotated Hinglish dataset covering language identification, matrix-language identification, POS tagging, NER, normalization, and translation.</w:t>
            </w:r>
          </w:p>
        </w:tc>
      </w:tr>
      <w:tr w:rsidR="00332BAE" w14:paraId="5D12F767" w14:textId="77777777">
        <w:tc>
          <w:tcPr>
            <w:tcW w:w="500" w:type="dxa"/>
            <w:tcMar>
              <w:top w:w="60" w:type="dxa"/>
              <w:left w:w="100" w:type="dxa"/>
              <w:bottom w:w="60" w:type="dxa"/>
              <w:right w:w="100" w:type="dxa"/>
            </w:tcMar>
            <w:vAlign w:val="center"/>
          </w:tcPr>
          <w:p w14:paraId="2D182CB4" w14:textId="77777777" w:rsidR="00332BAE" w:rsidRDefault="00000000">
            <w:r>
              <w:rPr>
                <w:rFonts w:ascii="Calibri" w:eastAsia="Calibri" w:hAnsi="Calibri" w:cs="Calibri"/>
                <w:sz w:val="18"/>
                <w:szCs w:val="18"/>
              </w:rPr>
              <w:t>14</w:t>
            </w:r>
          </w:p>
        </w:tc>
        <w:tc>
          <w:tcPr>
            <w:tcW w:w="2400" w:type="dxa"/>
            <w:tcMar>
              <w:top w:w="60" w:type="dxa"/>
              <w:left w:w="100" w:type="dxa"/>
              <w:bottom w:w="60" w:type="dxa"/>
              <w:right w:w="100" w:type="dxa"/>
            </w:tcMar>
            <w:vAlign w:val="center"/>
          </w:tcPr>
          <w:p w14:paraId="1377D201" w14:textId="77777777" w:rsidR="00332BAE" w:rsidRDefault="00000000">
            <w:r>
              <w:rPr>
                <w:rFonts w:ascii="Calibri" w:eastAsia="Calibri" w:hAnsi="Calibri" w:cs="Calibri"/>
                <w:sz w:val="18"/>
                <w:szCs w:val="18"/>
              </w:rPr>
              <w:t>Wu, Ma, Liu et al., 2025</w:t>
            </w:r>
          </w:p>
        </w:tc>
        <w:tc>
          <w:tcPr>
            <w:tcW w:w="3400" w:type="dxa"/>
            <w:tcMar>
              <w:top w:w="60" w:type="dxa"/>
              <w:left w:w="100" w:type="dxa"/>
              <w:bottom w:w="60" w:type="dxa"/>
              <w:right w:w="100" w:type="dxa"/>
            </w:tcMar>
            <w:vAlign w:val="center"/>
          </w:tcPr>
          <w:p w14:paraId="76C03751" w14:textId="77777777" w:rsidR="00332BAE" w:rsidRDefault="00000000">
            <w:r>
              <w:rPr>
                <w:rFonts w:ascii="Calibri" w:eastAsia="Calibri" w:hAnsi="Calibri" w:cs="Calibri"/>
                <w:sz w:val="18"/>
                <w:szCs w:val="18"/>
              </w:rPr>
              <w:t>M-ABSA: A Multilingual Dataset for Aspect-Based Sentiment Analysis</w:t>
            </w:r>
          </w:p>
        </w:tc>
        <w:tc>
          <w:tcPr>
            <w:tcW w:w="3780" w:type="dxa"/>
            <w:tcMar>
              <w:top w:w="60" w:type="dxa"/>
              <w:left w:w="100" w:type="dxa"/>
              <w:bottom w:w="60" w:type="dxa"/>
              <w:right w:w="100" w:type="dxa"/>
            </w:tcMar>
            <w:vAlign w:val="center"/>
          </w:tcPr>
          <w:p w14:paraId="47171F27" w14:textId="77777777" w:rsidR="00332BAE" w:rsidRDefault="00000000">
            <w:r>
              <w:rPr>
                <w:rFonts w:ascii="Calibri" w:eastAsia="Calibri" w:hAnsi="Calibri" w:cs="Calibri"/>
                <w:sz w:val="18"/>
                <w:szCs w:val="18"/>
              </w:rPr>
              <w:t>Extends ABSA to multiple languages with parallel aspect-sentiment annotations across domains, following the SemEval ABSA schema.</w:t>
            </w:r>
          </w:p>
        </w:tc>
      </w:tr>
      <w:tr w:rsidR="00332BAE" w14:paraId="09FA9CDE" w14:textId="77777777">
        <w:tc>
          <w:tcPr>
            <w:tcW w:w="500" w:type="dxa"/>
            <w:tcMar>
              <w:top w:w="60" w:type="dxa"/>
              <w:left w:w="100" w:type="dxa"/>
              <w:bottom w:w="60" w:type="dxa"/>
              <w:right w:w="100" w:type="dxa"/>
            </w:tcMar>
            <w:vAlign w:val="center"/>
          </w:tcPr>
          <w:p w14:paraId="3BAA1B43" w14:textId="77777777" w:rsidR="00332BAE" w:rsidRDefault="00000000">
            <w:r>
              <w:rPr>
                <w:rFonts w:ascii="Calibri" w:eastAsia="Calibri" w:hAnsi="Calibri" w:cs="Calibri"/>
                <w:sz w:val="18"/>
                <w:szCs w:val="18"/>
              </w:rPr>
              <w:t>15</w:t>
            </w:r>
          </w:p>
        </w:tc>
        <w:tc>
          <w:tcPr>
            <w:tcW w:w="2400" w:type="dxa"/>
            <w:tcMar>
              <w:top w:w="60" w:type="dxa"/>
              <w:left w:w="100" w:type="dxa"/>
              <w:bottom w:w="60" w:type="dxa"/>
              <w:right w:w="100" w:type="dxa"/>
            </w:tcMar>
            <w:vAlign w:val="center"/>
          </w:tcPr>
          <w:p w14:paraId="07E4A1F3" w14:textId="77777777" w:rsidR="00332BAE" w:rsidRDefault="00000000">
            <w:r>
              <w:rPr>
                <w:rFonts w:ascii="Calibri" w:eastAsia="Calibri" w:hAnsi="Calibri" w:cs="Calibri"/>
                <w:sz w:val="18"/>
                <w:szCs w:val="18"/>
              </w:rPr>
              <w:t>Sterner &amp; Teufel, 2025</w:t>
            </w:r>
          </w:p>
        </w:tc>
        <w:tc>
          <w:tcPr>
            <w:tcW w:w="3400" w:type="dxa"/>
            <w:tcMar>
              <w:top w:w="60" w:type="dxa"/>
              <w:left w:w="100" w:type="dxa"/>
              <w:bottom w:w="60" w:type="dxa"/>
              <w:right w:w="100" w:type="dxa"/>
            </w:tcMar>
            <w:vAlign w:val="center"/>
          </w:tcPr>
          <w:p w14:paraId="69259B20" w14:textId="77777777" w:rsidR="00332BAE" w:rsidRDefault="00000000">
            <w:r>
              <w:rPr>
                <w:rFonts w:ascii="Calibri" w:eastAsia="Calibri" w:hAnsi="Calibri" w:cs="Calibri"/>
                <w:sz w:val="18"/>
                <w:szCs w:val="18"/>
              </w:rPr>
              <w:t>Code-Switching and Syntax: A Large-Scale Experiment</w:t>
            </w:r>
          </w:p>
        </w:tc>
        <w:tc>
          <w:tcPr>
            <w:tcW w:w="3780" w:type="dxa"/>
            <w:tcMar>
              <w:top w:w="60" w:type="dxa"/>
              <w:left w:w="100" w:type="dxa"/>
              <w:bottom w:w="60" w:type="dxa"/>
              <w:right w:w="100" w:type="dxa"/>
            </w:tcMar>
            <w:vAlign w:val="center"/>
          </w:tcPr>
          <w:p w14:paraId="62BD0F23" w14:textId="77777777" w:rsidR="00332BAE" w:rsidRDefault="00000000">
            <w:r>
              <w:rPr>
                <w:rFonts w:ascii="Calibri" w:eastAsia="Calibri" w:hAnsi="Calibri" w:cs="Calibri"/>
                <w:sz w:val="18"/>
                <w:szCs w:val="18"/>
              </w:rPr>
              <w:t>Large-scale computational analysis of the syntactic structure of code-switched text, testing linguistic-theory predictions (e.g. equivalence constraints) against real code-switching data at scale.</w:t>
            </w:r>
          </w:p>
        </w:tc>
      </w:tr>
      <w:tr w:rsidR="00332BAE" w14:paraId="5595CF01" w14:textId="77777777">
        <w:tc>
          <w:tcPr>
            <w:tcW w:w="500" w:type="dxa"/>
            <w:tcMar>
              <w:top w:w="60" w:type="dxa"/>
              <w:left w:w="100" w:type="dxa"/>
              <w:bottom w:w="60" w:type="dxa"/>
              <w:right w:w="100" w:type="dxa"/>
            </w:tcMar>
            <w:vAlign w:val="center"/>
          </w:tcPr>
          <w:p w14:paraId="6E609A62" w14:textId="77777777" w:rsidR="00332BAE" w:rsidRDefault="00000000">
            <w:r>
              <w:rPr>
                <w:rFonts w:ascii="Calibri" w:eastAsia="Calibri" w:hAnsi="Calibri" w:cs="Calibri"/>
                <w:sz w:val="18"/>
                <w:szCs w:val="18"/>
              </w:rPr>
              <w:lastRenderedPageBreak/>
              <w:t>16</w:t>
            </w:r>
          </w:p>
        </w:tc>
        <w:tc>
          <w:tcPr>
            <w:tcW w:w="2400" w:type="dxa"/>
            <w:tcMar>
              <w:top w:w="60" w:type="dxa"/>
              <w:left w:w="100" w:type="dxa"/>
              <w:bottom w:w="60" w:type="dxa"/>
              <w:right w:w="100" w:type="dxa"/>
            </w:tcMar>
            <w:vAlign w:val="center"/>
          </w:tcPr>
          <w:p w14:paraId="0B0F821D" w14:textId="77777777" w:rsidR="00332BAE" w:rsidRDefault="00000000">
            <w:r>
              <w:rPr>
                <w:rFonts w:ascii="Calibri" w:eastAsia="Calibri" w:hAnsi="Calibri" w:cs="Calibri"/>
                <w:sz w:val="18"/>
                <w:szCs w:val="18"/>
              </w:rPr>
              <w:t>Kuwanto, Agarwal, Winata &amp; Wijaya, 2024</w:t>
            </w:r>
          </w:p>
        </w:tc>
        <w:tc>
          <w:tcPr>
            <w:tcW w:w="3400" w:type="dxa"/>
            <w:tcMar>
              <w:top w:w="60" w:type="dxa"/>
              <w:left w:w="100" w:type="dxa"/>
              <w:bottom w:w="60" w:type="dxa"/>
              <w:right w:w="100" w:type="dxa"/>
            </w:tcMar>
            <w:vAlign w:val="center"/>
          </w:tcPr>
          <w:p w14:paraId="6CFF4436" w14:textId="77777777" w:rsidR="00332BAE" w:rsidRDefault="00000000">
            <w:r>
              <w:rPr>
                <w:rFonts w:ascii="Calibri" w:eastAsia="Calibri" w:hAnsi="Calibri" w:cs="Calibri"/>
                <w:sz w:val="18"/>
                <w:szCs w:val="18"/>
              </w:rPr>
              <w:t>Linguistics Theory Meets LLM: Code-Switched Text Generation via Equivalence-Constrained LLMs</w:t>
            </w:r>
          </w:p>
        </w:tc>
        <w:tc>
          <w:tcPr>
            <w:tcW w:w="3780" w:type="dxa"/>
            <w:tcMar>
              <w:top w:w="60" w:type="dxa"/>
              <w:left w:w="100" w:type="dxa"/>
              <w:bottom w:w="60" w:type="dxa"/>
              <w:right w:w="100" w:type="dxa"/>
            </w:tcMar>
            <w:vAlign w:val="center"/>
          </w:tcPr>
          <w:p w14:paraId="17E8B5DE" w14:textId="77777777" w:rsidR="00332BAE" w:rsidRDefault="00000000">
            <w:r>
              <w:rPr>
                <w:rFonts w:ascii="Calibri" w:eastAsia="Calibri" w:hAnsi="Calibri" w:cs="Calibri"/>
                <w:sz w:val="18"/>
                <w:szCs w:val="18"/>
              </w:rPr>
              <w:t>Operationalises classical code-switching linguistic theory (equivalence constraints) as a computational constraint for LLM-based code-switched text generation.</w:t>
            </w:r>
          </w:p>
        </w:tc>
      </w:tr>
      <w:tr w:rsidR="00332BAE" w14:paraId="03969234" w14:textId="77777777">
        <w:tc>
          <w:tcPr>
            <w:tcW w:w="500" w:type="dxa"/>
            <w:tcMar>
              <w:top w:w="60" w:type="dxa"/>
              <w:left w:w="100" w:type="dxa"/>
              <w:bottom w:w="60" w:type="dxa"/>
              <w:right w:w="100" w:type="dxa"/>
            </w:tcMar>
            <w:vAlign w:val="center"/>
          </w:tcPr>
          <w:p w14:paraId="6F332C88" w14:textId="77777777" w:rsidR="00332BAE" w:rsidRDefault="00000000">
            <w:r>
              <w:rPr>
                <w:rFonts w:ascii="Calibri" w:eastAsia="Calibri" w:hAnsi="Calibri" w:cs="Calibri"/>
                <w:sz w:val="18"/>
                <w:szCs w:val="18"/>
              </w:rPr>
              <w:t>17</w:t>
            </w:r>
          </w:p>
        </w:tc>
        <w:tc>
          <w:tcPr>
            <w:tcW w:w="2400" w:type="dxa"/>
            <w:tcMar>
              <w:top w:w="60" w:type="dxa"/>
              <w:left w:w="100" w:type="dxa"/>
              <w:bottom w:w="60" w:type="dxa"/>
              <w:right w:w="100" w:type="dxa"/>
            </w:tcMar>
            <w:vAlign w:val="center"/>
          </w:tcPr>
          <w:p w14:paraId="19404F13" w14:textId="77777777" w:rsidR="00332BAE" w:rsidRDefault="00000000">
            <w:r>
              <w:rPr>
                <w:rFonts w:ascii="Calibri" w:eastAsia="Calibri" w:hAnsi="Calibri" w:cs="Calibri"/>
                <w:sz w:val="18"/>
                <w:szCs w:val="18"/>
              </w:rPr>
              <w:t>Conneau et al., 2020</w:t>
            </w:r>
          </w:p>
        </w:tc>
        <w:tc>
          <w:tcPr>
            <w:tcW w:w="3400" w:type="dxa"/>
            <w:tcMar>
              <w:top w:w="60" w:type="dxa"/>
              <w:left w:w="100" w:type="dxa"/>
              <w:bottom w:w="60" w:type="dxa"/>
              <w:right w:w="100" w:type="dxa"/>
            </w:tcMar>
            <w:vAlign w:val="center"/>
          </w:tcPr>
          <w:p w14:paraId="53265482" w14:textId="77777777" w:rsidR="00332BAE" w:rsidRDefault="00000000">
            <w:r>
              <w:rPr>
                <w:rFonts w:ascii="Calibri" w:eastAsia="Calibri" w:hAnsi="Calibri" w:cs="Calibri"/>
                <w:sz w:val="18"/>
                <w:szCs w:val="18"/>
              </w:rPr>
              <w:t>Unsupervised Cross-lingual Representation Learning at Scale (XLM-R)</w:t>
            </w:r>
          </w:p>
        </w:tc>
        <w:tc>
          <w:tcPr>
            <w:tcW w:w="3780" w:type="dxa"/>
            <w:tcMar>
              <w:top w:w="60" w:type="dxa"/>
              <w:left w:w="100" w:type="dxa"/>
              <w:bottom w:w="60" w:type="dxa"/>
              <w:right w:w="100" w:type="dxa"/>
            </w:tcMar>
            <w:vAlign w:val="center"/>
          </w:tcPr>
          <w:p w14:paraId="0084D972" w14:textId="77777777" w:rsidR="00332BAE" w:rsidRDefault="00000000">
            <w:r>
              <w:rPr>
                <w:rFonts w:ascii="Calibri" w:eastAsia="Calibri" w:hAnsi="Calibri" w:cs="Calibri"/>
                <w:sz w:val="18"/>
                <w:szCs w:val="18"/>
              </w:rPr>
              <w:t>Pretrained a single Transformer encoder on 100 languages including Hindi and English; strong cross-lingual transfer without parallel data.</w:t>
            </w:r>
          </w:p>
        </w:tc>
      </w:tr>
      <w:tr w:rsidR="00332BAE" w14:paraId="56EA1EE1" w14:textId="77777777">
        <w:tc>
          <w:tcPr>
            <w:tcW w:w="500" w:type="dxa"/>
            <w:tcMar>
              <w:top w:w="60" w:type="dxa"/>
              <w:left w:w="100" w:type="dxa"/>
              <w:bottom w:w="60" w:type="dxa"/>
              <w:right w:w="100" w:type="dxa"/>
            </w:tcMar>
            <w:vAlign w:val="center"/>
          </w:tcPr>
          <w:p w14:paraId="427399AD" w14:textId="77777777" w:rsidR="00332BAE" w:rsidRDefault="00000000">
            <w:r>
              <w:rPr>
                <w:rFonts w:ascii="Calibri" w:eastAsia="Calibri" w:hAnsi="Calibri" w:cs="Calibri"/>
                <w:sz w:val="18"/>
                <w:szCs w:val="18"/>
              </w:rPr>
              <w:t>18</w:t>
            </w:r>
          </w:p>
        </w:tc>
        <w:tc>
          <w:tcPr>
            <w:tcW w:w="2400" w:type="dxa"/>
            <w:tcMar>
              <w:top w:w="60" w:type="dxa"/>
              <w:left w:w="100" w:type="dxa"/>
              <w:bottom w:w="60" w:type="dxa"/>
              <w:right w:w="100" w:type="dxa"/>
            </w:tcMar>
            <w:vAlign w:val="center"/>
          </w:tcPr>
          <w:p w14:paraId="67DB5D71" w14:textId="77777777" w:rsidR="00332BAE" w:rsidRDefault="00000000">
            <w:r>
              <w:rPr>
                <w:rFonts w:ascii="Calibri" w:eastAsia="Calibri" w:hAnsi="Calibri" w:cs="Calibri"/>
                <w:sz w:val="18"/>
                <w:szCs w:val="18"/>
              </w:rPr>
              <w:t>Kakwani et al., 2020 (AI4Bharat)</w:t>
            </w:r>
          </w:p>
        </w:tc>
        <w:tc>
          <w:tcPr>
            <w:tcW w:w="3400" w:type="dxa"/>
            <w:tcMar>
              <w:top w:w="60" w:type="dxa"/>
              <w:left w:w="100" w:type="dxa"/>
              <w:bottom w:w="60" w:type="dxa"/>
              <w:right w:w="100" w:type="dxa"/>
            </w:tcMar>
            <w:vAlign w:val="center"/>
          </w:tcPr>
          <w:p w14:paraId="659C9F9A" w14:textId="77777777" w:rsidR="00332BAE" w:rsidRDefault="00000000">
            <w:r>
              <w:rPr>
                <w:rFonts w:ascii="Calibri" w:eastAsia="Calibri" w:hAnsi="Calibri" w:cs="Calibri"/>
                <w:sz w:val="18"/>
                <w:szCs w:val="18"/>
              </w:rPr>
              <w:t>IndicNLPSuite / IndicBERT</w:t>
            </w:r>
          </w:p>
        </w:tc>
        <w:tc>
          <w:tcPr>
            <w:tcW w:w="3780" w:type="dxa"/>
            <w:tcMar>
              <w:top w:w="60" w:type="dxa"/>
              <w:left w:w="100" w:type="dxa"/>
              <w:bottom w:w="60" w:type="dxa"/>
              <w:right w:w="100" w:type="dxa"/>
            </w:tcMar>
            <w:vAlign w:val="center"/>
          </w:tcPr>
          <w:p w14:paraId="44A3B1D5" w14:textId="77777777" w:rsidR="00332BAE" w:rsidRDefault="00000000">
            <w:r>
              <w:rPr>
                <w:rFonts w:ascii="Calibri" w:eastAsia="Calibri" w:hAnsi="Calibri" w:cs="Calibri"/>
                <w:sz w:val="18"/>
                <w:szCs w:val="18"/>
              </w:rPr>
              <w:t>Large-scale monolingual corpora and a pretrained ALBERT-based model (IndicBERT) covering 12 major Indian languages.</w:t>
            </w:r>
          </w:p>
        </w:tc>
      </w:tr>
      <w:tr w:rsidR="00332BAE" w14:paraId="7B8EF1D1" w14:textId="77777777">
        <w:tc>
          <w:tcPr>
            <w:tcW w:w="500" w:type="dxa"/>
            <w:tcMar>
              <w:top w:w="60" w:type="dxa"/>
              <w:left w:w="100" w:type="dxa"/>
              <w:bottom w:w="60" w:type="dxa"/>
              <w:right w:w="100" w:type="dxa"/>
            </w:tcMar>
            <w:vAlign w:val="center"/>
          </w:tcPr>
          <w:p w14:paraId="6EAF8A28" w14:textId="77777777" w:rsidR="00332BAE" w:rsidRDefault="00000000">
            <w:r>
              <w:rPr>
                <w:rFonts w:ascii="Calibri" w:eastAsia="Calibri" w:hAnsi="Calibri" w:cs="Calibri"/>
                <w:sz w:val="18"/>
                <w:szCs w:val="18"/>
              </w:rPr>
              <w:t>19</w:t>
            </w:r>
          </w:p>
        </w:tc>
        <w:tc>
          <w:tcPr>
            <w:tcW w:w="2400" w:type="dxa"/>
            <w:tcMar>
              <w:top w:w="60" w:type="dxa"/>
              <w:left w:w="100" w:type="dxa"/>
              <w:bottom w:w="60" w:type="dxa"/>
              <w:right w:w="100" w:type="dxa"/>
            </w:tcMar>
            <w:vAlign w:val="center"/>
          </w:tcPr>
          <w:p w14:paraId="5F541A5D" w14:textId="77777777" w:rsidR="00332BAE" w:rsidRDefault="00000000">
            <w:r>
              <w:rPr>
                <w:rFonts w:ascii="Calibri" w:eastAsia="Calibri" w:hAnsi="Calibri" w:cs="Calibri"/>
                <w:sz w:val="18"/>
                <w:szCs w:val="18"/>
              </w:rPr>
              <w:t>Recent Hinglish sarcasm study, 2026</w:t>
            </w:r>
          </w:p>
        </w:tc>
        <w:tc>
          <w:tcPr>
            <w:tcW w:w="3400" w:type="dxa"/>
            <w:tcMar>
              <w:top w:w="60" w:type="dxa"/>
              <w:left w:w="100" w:type="dxa"/>
              <w:bottom w:w="60" w:type="dxa"/>
              <w:right w:w="100" w:type="dxa"/>
            </w:tcMar>
            <w:vAlign w:val="center"/>
          </w:tcPr>
          <w:p w14:paraId="3884491D" w14:textId="77777777" w:rsidR="00332BAE" w:rsidRDefault="00000000">
            <w:r>
              <w:rPr>
                <w:rFonts w:ascii="Calibri" w:eastAsia="Calibri" w:hAnsi="Calibri" w:cs="Calibri"/>
                <w:sz w:val="18"/>
                <w:szCs w:val="18"/>
              </w:rPr>
              <w:t>Small Wins Big: LLMs vs. Domain Fine-Tuned Models for Sarcasm Detection in Code-Mixed Hinglish</w:t>
            </w:r>
          </w:p>
        </w:tc>
        <w:tc>
          <w:tcPr>
            <w:tcW w:w="3780" w:type="dxa"/>
            <w:tcMar>
              <w:top w:w="60" w:type="dxa"/>
              <w:left w:w="100" w:type="dxa"/>
              <w:bottom w:w="60" w:type="dxa"/>
              <w:right w:w="100" w:type="dxa"/>
            </w:tcMar>
            <w:vAlign w:val="center"/>
          </w:tcPr>
          <w:p w14:paraId="45F5A385" w14:textId="77777777" w:rsidR="00332BAE" w:rsidRDefault="00000000">
            <w:r>
              <w:rPr>
                <w:rFonts w:ascii="Calibri" w:eastAsia="Calibri" w:hAnsi="Calibri" w:cs="Calibri"/>
                <w:sz w:val="18"/>
                <w:szCs w:val="18"/>
              </w:rPr>
              <w:t>Compares general-purpose LLMs against fine-tuned domain models for a code-mixed classification task; uses LLM-translated data to address Hinglish data scarcity.</w:t>
            </w:r>
          </w:p>
        </w:tc>
      </w:tr>
    </w:tbl>
    <w:p w14:paraId="35DFCA39" w14:textId="77777777" w:rsidR="00332BAE" w:rsidRDefault="00000000">
      <w:pPr>
        <w:pStyle w:val="Heading1"/>
        <w:spacing w:before="300" w:after="150"/>
      </w:pPr>
      <w:r>
        <w:rPr>
          <w:rFonts w:ascii="Calibri" w:eastAsia="Calibri" w:hAnsi="Calibri" w:cs="Calibri"/>
          <w:b/>
          <w:bCs/>
        </w:rPr>
        <w:t>4. Common Gaps Across the Literature</w:t>
      </w:r>
    </w:p>
    <w:p w14:paraId="655DCABD" w14:textId="77777777" w:rsidR="00332BAE" w:rsidRDefault="00000000">
      <w:pPr>
        <w:spacing w:after="160" w:line="276" w:lineRule="auto"/>
      </w:pPr>
      <w:r>
        <w:rPr>
          <w:rFonts w:ascii="Calibri" w:eastAsia="Calibri" w:hAnsi="Calibri" w:cs="Calibri"/>
        </w:rPr>
        <w:t>The table below synthesises the recurring gaps across the papers surveyed above, and which specific papers (by # in Table 3) each gap applies 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80"/>
        <w:gridCol w:w="3100"/>
      </w:tblGrid>
      <w:tr w:rsidR="00332BAE" w14:paraId="4774D7A9" w14:textId="77777777">
        <w:trPr>
          <w:tblHeader/>
        </w:trPr>
        <w:tc>
          <w:tcPr>
            <w:tcW w:w="2600" w:type="dxa"/>
            <w:shd w:val="clear" w:color="auto" w:fill="703030"/>
            <w:tcMar>
              <w:top w:w="80" w:type="dxa"/>
              <w:left w:w="100" w:type="dxa"/>
              <w:bottom w:w="80" w:type="dxa"/>
              <w:right w:w="100" w:type="dxa"/>
            </w:tcMar>
            <w:vAlign w:val="center"/>
          </w:tcPr>
          <w:p w14:paraId="5A37B34A" w14:textId="77777777" w:rsidR="00332BAE" w:rsidRDefault="00000000">
            <w:r>
              <w:rPr>
                <w:rFonts w:ascii="Calibri" w:eastAsia="Calibri" w:hAnsi="Calibri" w:cs="Calibri"/>
                <w:b/>
                <w:bCs/>
                <w:color w:val="FFFFFF"/>
                <w:sz w:val="18"/>
                <w:szCs w:val="18"/>
              </w:rPr>
              <w:t>Gap Identified</w:t>
            </w:r>
          </w:p>
        </w:tc>
        <w:tc>
          <w:tcPr>
            <w:tcW w:w="4380" w:type="dxa"/>
            <w:shd w:val="clear" w:color="auto" w:fill="703030"/>
            <w:tcMar>
              <w:top w:w="80" w:type="dxa"/>
              <w:left w:w="100" w:type="dxa"/>
              <w:bottom w:w="80" w:type="dxa"/>
              <w:right w:w="100" w:type="dxa"/>
            </w:tcMar>
            <w:vAlign w:val="center"/>
          </w:tcPr>
          <w:p w14:paraId="25E5F6AD" w14:textId="77777777" w:rsidR="00332BAE" w:rsidRDefault="00000000">
            <w:r>
              <w:rPr>
                <w:rFonts w:ascii="Calibri" w:eastAsia="Calibri" w:hAnsi="Calibri" w:cs="Calibri"/>
                <w:b/>
                <w:bCs/>
                <w:color w:val="FFFFFF"/>
                <w:sz w:val="18"/>
                <w:szCs w:val="18"/>
              </w:rPr>
              <w:t>Description</w:t>
            </w:r>
          </w:p>
        </w:tc>
        <w:tc>
          <w:tcPr>
            <w:tcW w:w="3100" w:type="dxa"/>
            <w:shd w:val="clear" w:color="auto" w:fill="703030"/>
            <w:tcMar>
              <w:top w:w="80" w:type="dxa"/>
              <w:left w:w="100" w:type="dxa"/>
              <w:bottom w:w="80" w:type="dxa"/>
              <w:right w:w="100" w:type="dxa"/>
            </w:tcMar>
            <w:vAlign w:val="center"/>
          </w:tcPr>
          <w:p w14:paraId="023507B2" w14:textId="77777777" w:rsidR="00332BAE" w:rsidRDefault="00000000">
            <w:r>
              <w:rPr>
                <w:rFonts w:ascii="Calibri" w:eastAsia="Calibri" w:hAnsi="Calibri" w:cs="Calibri"/>
                <w:b/>
                <w:bCs/>
                <w:color w:val="FFFFFF"/>
                <w:sz w:val="18"/>
                <w:szCs w:val="18"/>
              </w:rPr>
              <w:t>Papers Affected (# from Table above)</w:t>
            </w:r>
          </w:p>
        </w:tc>
      </w:tr>
      <w:tr w:rsidR="00332BAE" w14:paraId="5AFA0395" w14:textId="77777777">
        <w:tc>
          <w:tcPr>
            <w:tcW w:w="2600" w:type="dxa"/>
            <w:tcMar>
              <w:top w:w="60" w:type="dxa"/>
              <w:left w:w="100" w:type="dxa"/>
              <w:bottom w:w="60" w:type="dxa"/>
              <w:right w:w="100" w:type="dxa"/>
            </w:tcMar>
            <w:vAlign w:val="center"/>
          </w:tcPr>
          <w:p w14:paraId="68823760" w14:textId="77777777" w:rsidR="00332BAE" w:rsidRDefault="00000000">
            <w:r>
              <w:rPr>
                <w:rFonts w:ascii="Calibri" w:eastAsia="Calibri" w:hAnsi="Calibri" w:cs="Calibri"/>
                <w:sz w:val="18"/>
                <w:szCs w:val="18"/>
              </w:rPr>
              <w:t>No code-mixed language in dimensional ABSA</w:t>
            </w:r>
          </w:p>
        </w:tc>
        <w:tc>
          <w:tcPr>
            <w:tcW w:w="4380" w:type="dxa"/>
            <w:tcMar>
              <w:top w:w="60" w:type="dxa"/>
              <w:left w:w="100" w:type="dxa"/>
              <w:bottom w:w="60" w:type="dxa"/>
              <w:right w:w="100" w:type="dxa"/>
            </w:tcMar>
            <w:vAlign w:val="center"/>
          </w:tcPr>
          <w:p w14:paraId="66934B91" w14:textId="77777777" w:rsidR="00332BAE" w:rsidRDefault="00000000">
            <w:r>
              <w:rPr>
                <w:rFonts w:ascii="Calibri" w:eastAsia="Calibri" w:hAnsi="Calibri" w:cs="Calibri"/>
                <w:sz w:val="18"/>
                <w:szCs w:val="18"/>
              </w:rPr>
              <w:t>DimABSA (SemEval-2026) and its SIGHAN-2024 precursor define valence-arousal ABSA, but every language they cover is monolingual — none are code-mixed.</w:t>
            </w:r>
          </w:p>
        </w:tc>
        <w:tc>
          <w:tcPr>
            <w:tcW w:w="3100" w:type="dxa"/>
            <w:tcMar>
              <w:top w:w="60" w:type="dxa"/>
              <w:left w:w="100" w:type="dxa"/>
              <w:bottom w:w="60" w:type="dxa"/>
              <w:right w:w="100" w:type="dxa"/>
            </w:tcMar>
            <w:vAlign w:val="center"/>
          </w:tcPr>
          <w:p w14:paraId="3BC6F6E2" w14:textId="77777777" w:rsidR="00332BAE" w:rsidRDefault="00000000">
            <w:r>
              <w:rPr>
                <w:rFonts w:ascii="Calibri" w:eastAsia="Calibri" w:hAnsi="Calibri" w:cs="Calibri"/>
                <w:sz w:val="18"/>
                <w:szCs w:val="18"/>
              </w:rPr>
              <w:t>4, 5, 6, 7</w:t>
            </w:r>
          </w:p>
        </w:tc>
      </w:tr>
      <w:tr w:rsidR="00332BAE" w14:paraId="7C06121F" w14:textId="77777777">
        <w:tc>
          <w:tcPr>
            <w:tcW w:w="2600" w:type="dxa"/>
            <w:tcMar>
              <w:top w:w="60" w:type="dxa"/>
              <w:left w:w="100" w:type="dxa"/>
              <w:bottom w:w="60" w:type="dxa"/>
              <w:right w:w="100" w:type="dxa"/>
            </w:tcMar>
            <w:vAlign w:val="center"/>
          </w:tcPr>
          <w:p w14:paraId="44684FE8" w14:textId="77777777" w:rsidR="00332BAE" w:rsidRDefault="00000000">
            <w:r>
              <w:rPr>
                <w:rFonts w:ascii="Calibri" w:eastAsia="Calibri" w:hAnsi="Calibri" w:cs="Calibri"/>
                <w:sz w:val="18"/>
                <w:szCs w:val="18"/>
              </w:rPr>
              <w:t>Hinglish resources are categorical, not dimensional</w:t>
            </w:r>
          </w:p>
        </w:tc>
        <w:tc>
          <w:tcPr>
            <w:tcW w:w="4380" w:type="dxa"/>
            <w:tcMar>
              <w:top w:w="60" w:type="dxa"/>
              <w:left w:w="100" w:type="dxa"/>
              <w:bottom w:w="60" w:type="dxa"/>
              <w:right w:w="100" w:type="dxa"/>
            </w:tcMar>
            <w:vAlign w:val="center"/>
          </w:tcPr>
          <w:p w14:paraId="70CE5CE2" w14:textId="77777777" w:rsidR="00332BAE" w:rsidRDefault="00000000">
            <w:r>
              <w:rPr>
                <w:rFonts w:ascii="Calibri" w:eastAsia="Calibri" w:hAnsi="Calibri" w:cs="Calibri"/>
                <w:sz w:val="18"/>
                <w:szCs w:val="18"/>
              </w:rPr>
              <w:t>Existing Hindi-English code-mixed sentiment/ABSA resources (sentiment datasets, hate-speech datasets, multitask annotation sets) label polarity classes, never continuous valence-arousal intensity.</w:t>
            </w:r>
          </w:p>
        </w:tc>
        <w:tc>
          <w:tcPr>
            <w:tcW w:w="3100" w:type="dxa"/>
            <w:tcMar>
              <w:top w:w="60" w:type="dxa"/>
              <w:left w:w="100" w:type="dxa"/>
              <w:bottom w:w="60" w:type="dxa"/>
              <w:right w:w="100" w:type="dxa"/>
            </w:tcMar>
            <w:vAlign w:val="center"/>
          </w:tcPr>
          <w:p w14:paraId="37CE2FA1" w14:textId="77777777" w:rsidR="00332BAE" w:rsidRDefault="00000000">
            <w:r>
              <w:rPr>
                <w:rFonts w:ascii="Calibri" w:eastAsia="Calibri" w:hAnsi="Calibri" w:cs="Calibri"/>
                <w:sz w:val="18"/>
                <w:szCs w:val="18"/>
              </w:rPr>
              <w:t>8, 9, 10, 11, 12, 13, 14</w:t>
            </w:r>
          </w:p>
        </w:tc>
      </w:tr>
      <w:tr w:rsidR="00332BAE" w14:paraId="09E4A7AD" w14:textId="77777777">
        <w:tc>
          <w:tcPr>
            <w:tcW w:w="2600" w:type="dxa"/>
            <w:tcMar>
              <w:top w:w="60" w:type="dxa"/>
              <w:left w:w="100" w:type="dxa"/>
              <w:bottom w:w="60" w:type="dxa"/>
              <w:right w:w="100" w:type="dxa"/>
            </w:tcMar>
            <w:vAlign w:val="center"/>
          </w:tcPr>
          <w:p w14:paraId="0FF218EA" w14:textId="77777777" w:rsidR="00332BAE" w:rsidRDefault="00000000">
            <w:r>
              <w:rPr>
                <w:rFonts w:ascii="Calibri" w:eastAsia="Calibri" w:hAnsi="Calibri" w:cs="Calibri"/>
                <w:sz w:val="18"/>
                <w:szCs w:val="18"/>
              </w:rPr>
              <w:t>Code-switch structure studied, but not linked to sentiment intensity</w:t>
            </w:r>
          </w:p>
        </w:tc>
        <w:tc>
          <w:tcPr>
            <w:tcW w:w="4380" w:type="dxa"/>
            <w:tcMar>
              <w:top w:w="60" w:type="dxa"/>
              <w:left w:w="100" w:type="dxa"/>
              <w:bottom w:w="60" w:type="dxa"/>
              <w:right w:w="100" w:type="dxa"/>
            </w:tcMar>
            <w:vAlign w:val="center"/>
          </w:tcPr>
          <w:p w14:paraId="55B280FA" w14:textId="77777777" w:rsidR="00332BAE" w:rsidRDefault="00000000">
            <w:r>
              <w:rPr>
                <w:rFonts w:ascii="Calibri" w:eastAsia="Calibri" w:hAnsi="Calibri" w:cs="Calibri"/>
                <w:sz w:val="18"/>
                <w:szCs w:val="18"/>
              </w:rPr>
              <w:t>Recent work shows switch points follow predictable syntactic structure and can be generated under linguistic constraints, but neither study connects switch location to emotional intensity or sentiment prediction.</w:t>
            </w:r>
          </w:p>
        </w:tc>
        <w:tc>
          <w:tcPr>
            <w:tcW w:w="3100" w:type="dxa"/>
            <w:tcMar>
              <w:top w:w="60" w:type="dxa"/>
              <w:left w:w="100" w:type="dxa"/>
              <w:bottom w:w="60" w:type="dxa"/>
              <w:right w:w="100" w:type="dxa"/>
            </w:tcMar>
            <w:vAlign w:val="center"/>
          </w:tcPr>
          <w:p w14:paraId="3C0AEAF6" w14:textId="77777777" w:rsidR="00332BAE" w:rsidRDefault="00000000">
            <w:r>
              <w:rPr>
                <w:rFonts w:ascii="Calibri" w:eastAsia="Calibri" w:hAnsi="Calibri" w:cs="Calibri"/>
                <w:sz w:val="18"/>
                <w:szCs w:val="18"/>
              </w:rPr>
              <w:t>15, 16</w:t>
            </w:r>
          </w:p>
        </w:tc>
      </w:tr>
      <w:tr w:rsidR="00332BAE" w14:paraId="64AEF99F" w14:textId="77777777">
        <w:tc>
          <w:tcPr>
            <w:tcW w:w="2600" w:type="dxa"/>
            <w:tcMar>
              <w:top w:w="60" w:type="dxa"/>
              <w:left w:w="100" w:type="dxa"/>
              <w:bottom w:w="60" w:type="dxa"/>
              <w:right w:w="100" w:type="dxa"/>
            </w:tcMar>
            <w:vAlign w:val="center"/>
          </w:tcPr>
          <w:p w14:paraId="24015631" w14:textId="77777777" w:rsidR="00332BAE" w:rsidRDefault="00000000">
            <w:r>
              <w:rPr>
                <w:rFonts w:ascii="Calibri" w:eastAsia="Calibri" w:hAnsi="Calibri" w:cs="Calibri"/>
                <w:sz w:val="18"/>
                <w:szCs w:val="18"/>
              </w:rPr>
              <w:t>Arousal is harder to predict than valence, with no explanation for code-mixed text</w:t>
            </w:r>
          </w:p>
        </w:tc>
        <w:tc>
          <w:tcPr>
            <w:tcW w:w="4380" w:type="dxa"/>
            <w:tcMar>
              <w:top w:w="60" w:type="dxa"/>
              <w:left w:w="100" w:type="dxa"/>
              <w:bottom w:w="60" w:type="dxa"/>
              <w:right w:w="100" w:type="dxa"/>
            </w:tcMar>
            <w:vAlign w:val="center"/>
          </w:tcPr>
          <w:p w14:paraId="62544E12" w14:textId="77777777" w:rsidR="00332BAE" w:rsidRDefault="00000000">
            <w:r>
              <w:rPr>
                <w:rFonts w:ascii="Calibri" w:eastAsia="Calibri" w:hAnsi="Calibri" w:cs="Calibri"/>
                <w:sz w:val="18"/>
                <w:szCs w:val="18"/>
              </w:rPr>
              <w:t>DimABSA system results consistently show arousal prediction lagging valence prediction across all 11 official languages; no existing study tests whether code-switching contributes to this gap.</w:t>
            </w:r>
          </w:p>
        </w:tc>
        <w:tc>
          <w:tcPr>
            <w:tcW w:w="3100" w:type="dxa"/>
            <w:tcMar>
              <w:top w:w="60" w:type="dxa"/>
              <w:left w:w="100" w:type="dxa"/>
              <w:bottom w:w="60" w:type="dxa"/>
              <w:right w:w="100" w:type="dxa"/>
            </w:tcMar>
            <w:vAlign w:val="center"/>
          </w:tcPr>
          <w:p w14:paraId="5743F230" w14:textId="77777777" w:rsidR="00332BAE" w:rsidRDefault="00000000">
            <w:r>
              <w:rPr>
                <w:rFonts w:ascii="Calibri" w:eastAsia="Calibri" w:hAnsi="Calibri" w:cs="Calibri"/>
                <w:sz w:val="18"/>
                <w:szCs w:val="18"/>
              </w:rPr>
              <w:t>4, 6, 7</w:t>
            </w:r>
          </w:p>
        </w:tc>
      </w:tr>
      <w:tr w:rsidR="00332BAE" w14:paraId="2CAAEA37" w14:textId="77777777">
        <w:tc>
          <w:tcPr>
            <w:tcW w:w="2600" w:type="dxa"/>
            <w:tcMar>
              <w:top w:w="60" w:type="dxa"/>
              <w:left w:w="100" w:type="dxa"/>
              <w:bottom w:w="60" w:type="dxa"/>
              <w:right w:w="100" w:type="dxa"/>
            </w:tcMar>
            <w:vAlign w:val="center"/>
          </w:tcPr>
          <w:p w14:paraId="27AB2EF7" w14:textId="77777777" w:rsidR="00332BAE" w:rsidRDefault="00000000">
            <w:r>
              <w:rPr>
                <w:rFonts w:ascii="Calibri" w:eastAsia="Calibri" w:hAnsi="Calibri" w:cs="Calibri"/>
                <w:sz w:val="18"/>
                <w:szCs w:val="18"/>
              </w:rPr>
              <w:t>Backbone encoders untested on intra-sentence code-mixing</w:t>
            </w:r>
          </w:p>
        </w:tc>
        <w:tc>
          <w:tcPr>
            <w:tcW w:w="4380" w:type="dxa"/>
            <w:tcMar>
              <w:top w:w="60" w:type="dxa"/>
              <w:left w:w="100" w:type="dxa"/>
              <w:bottom w:w="60" w:type="dxa"/>
              <w:right w:w="100" w:type="dxa"/>
            </w:tcMar>
            <w:vAlign w:val="center"/>
          </w:tcPr>
          <w:p w14:paraId="6D358A47" w14:textId="77777777" w:rsidR="00332BAE" w:rsidRDefault="00000000">
            <w:r>
              <w:rPr>
                <w:rFonts w:ascii="Calibri" w:eastAsia="Calibri" w:hAnsi="Calibri" w:cs="Calibri"/>
                <w:sz w:val="18"/>
                <w:szCs w:val="18"/>
              </w:rPr>
              <w:t>Multilingual/Indic backbone models (XLM-R, IndicBERT) are trained and evaluated per-language; neither was evaluated on text that switches languages within a single sentence.</w:t>
            </w:r>
          </w:p>
        </w:tc>
        <w:tc>
          <w:tcPr>
            <w:tcW w:w="3100" w:type="dxa"/>
            <w:tcMar>
              <w:top w:w="60" w:type="dxa"/>
              <w:left w:w="100" w:type="dxa"/>
              <w:bottom w:w="60" w:type="dxa"/>
              <w:right w:w="100" w:type="dxa"/>
            </w:tcMar>
            <w:vAlign w:val="center"/>
          </w:tcPr>
          <w:p w14:paraId="3A06A9BF" w14:textId="77777777" w:rsidR="00332BAE" w:rsidRDefault="00000000">
            <w:r>
              <w:rPr>
                <w:rFonts w:ascii="Calibri" w:eastAsia="Calibri" w:hAnsi="Calibri" w:cs="Calibri"/>
                <w:sz w:val="18"/>
                <w:szCs w:val="18"/>
              </w:rPr>
              <w:t>17, 18</w:t>
            </w:r>
          </w:p>
        </w:tc>
      </w:tr>
    </w:tbl>
    <w:p w14:paraId="33E8140D" w14:textId="77777777" w:rsidR="00332BAE" w:rsidRDefault="00000000">
      <w:pPr>
        <w:pStyle w:val="Heading1"/>
        <w:spacing w:before="300" w:after="150"/>
      </w:pPr>
      <w:r>
        <w:rPr>
          <w:rFonts w:ascii="Calibri" w:eastAsia="Calibri" w:hAnsi="Calibri" w:cs="Calibri"/>
          <w:b/>
          <w:bCs/>
        </w:rPr>
        <w:t>5. Summary</w:t>
      </w:r>
    </w:p>
    <w:p w14:paraId="695608EB" w14:textId="77777777" w:rsidR="00332BAE" w:rsidRDefault="00000000">
      <w:pPr>
        <w:pStyle w:val="ListParagraph"/>
        <w:numPr>
          <w:ilvl w:val="0"/>
          <w:numId w:val="1"/>
        </w:numPr>
        <w:spacing w:after="100"/>
      </w:pPr>
      <w:r>
        <w:rPr>
          <w:rFonts w:ascii="Calibri" w:eastAsia="Calibri" w:hAnsi="Calibri" w:cs="Calibri"/>
        </w:rPr>
        <w:t>Dimensional ABSA (valence-arousal) exists (DimABSA, SemEval-2026; and its SIGHAN-2024 precursor) but covers no code-mixed language.</w:t>
      </w:r>
    </w:p>
    <w:p w14:paraId="24A1032D" w14:textId="77777777" w:rsidR="00332BAE" w:rsidRDefault="00000000">
      <w:pPr>
        <w:pStyle w:val="ListParagraph"/>
        <w:numPr>
          <w:ilvl w:val="0"/>
          <w:numId w:val="1"/>
        </w:numPr>
        <w:spacing w:after="100"/>
      </w:pPr>
      <w:r>
        <w:rPr>
          <w:rFonts w:ascii="Calibri" w:eastAsia="Calibri" w:hAnsi="Calibri" w:cs="Calibri"/>
        </w:rPr>
        <w:t>Hinglish NLP resources exist (COMI-LINGUA, L3Cube-HingCorpus, M-ABSA) but none combine aspect-level sentiment with continuous VA intensity.</w:t>
      </w:r>
    </w:p>
    <w:p w14:paraId="5003AD17" w14:textId="77777777" w:rsidR="00332BAE" w:rsidRDefault="00000000">
      <w:pPr>
        <w:pStyle w:val="ListParagraph"/>
        <w:numPr>
          <w:ilvl w:val="0"/>
          <w:numId w:val="1"/>
        </w:numPr>
        <w:spacing w:after="100"/>
      </w:pPr>
      <w:r>
        <w:rPr>
          <w:rFonts w:ascii="Calibri" w:eastAsia="Calibri" w:hAnsi="Calibri" w:cs="Calibri"/>
        </w:rPr>
        <w:lastRenderedPageBreak/>
        <w:t>Recent computational studies (Sterner &amp; Teufel, 2025; Kuwanto et al., 2024) show code-switch points follow predictable structure rather than occurring at random — this has not been operationalised as a feature in any ABSA or DimABSA model to date.</w:t>
      </w:r>
    </w:p>
    <w:p w14:paraId="381419BB" w14:textId="77777777" w:rsidR="00332BAE" w:rsidRDefault="00000000">
      <w:pPr>
        <w:pStyle w:val="ListParagraph"/>
        <w:numPr>
          <w:ilvl w:val="0"/>
          <w:numId w:val="1"/>
        </w:numPr>
        <w:spacing w:after="100"/>
      </w:pPr>
      <w:r>
        <w:rPr>
          <w:rFonts w:ascii="Calibri" w:eastAsia="Calibri" w:hAnsi="Calibri" w:cs="Calibri"/>
        </w:rPr>
        <w:t>Arousal is empirically harder to predict than valence across all DimABSA languages; whether code-switching helps explain this gap is untested.</w:t>
      </w:r>
    </w:p>
    <w:p w14:paraId="762BF49F" w14:textId="77777777" w:rsidR="00332BAE" w:rsidRDefault="00000000">
      <w:pPr>
        <w:spacing w:after="160" w:line="276" w:lineRule="auto"/>
      </w:pPr>
      <w:r>
        <w:rPr>
          <w:rFonts w:ascii="Calibri" w:eastAsia="Calibri" w:hAnsi="Calibri" w:cs="Calibri"/>
        </w:rPr>
        <w:t>This project addresses all four points by building a Hindi-English dimensional ABSA dataset and a language-switch-aware model (SwitchVA), directly extending the DimABSA framework to a genuinely unstudied linguistic setting.</w:t>
      </w:r>
    </w:p>
    <w:p w14:paraId="0F5461DD" w14:textId="1A07B606" w:rsidR="00332BAE" w:rsidRDefault="00000000">
      <w:pPr>
        <w:pStyle w:val="Heading1"/>
        <w:spacing w:before="300" w:after="150"/>
      </w:pPr>
      <w:r>
        <w:rPr>
          <w:rFonts w:ascii="Calibri" w:eastAsia="Calibri" w:hAnsi="Calibri" w:cs="Calibri"/>
          <w:b/>
          <w:bCs/>
        </w:rPr>
        <w:t>6. References</w:t>
      </w:r>
    </w:p>
    <w:p w14:paraId="333B168E" w14:textId="77777777" w:rsidR="00332BAE" w:rsidRDefault="00000000">
      <w:pPr>
        <w:spacing w:after="160" w:line="276" w:lineRule="auto"/>
      </w:pPr>
      <w:r>
        <w:rPr>
          <w:rFonts w:ascii="Calibri" w:eastAsia="Calibri" w:hAnsi="Calibri" w:cs="Calibri"/>
        </w:rPr>
        <w:t>Click any reference below to open the paper directly. DOI links resolve via doi.org; ACL Anthology / arXiv links go straight to the paper page.</w:t>
      </w:r>
    </w:p>
    <w:p w14:paraId="7CDD130F" w14:textId="77777777" w:rsidR="00332BAE" w:rsidRDefault="00000000">
      <w:pPr>
        <w:spacing w:after="140"/>
      </w:pPr>
      <w:r>
        <w:rPr>
          <w:rFonts w:ascii="Calibri" w:eastAsia="Calibri" w:hAnsi="Calibri" w:cs="Calibri"/>
          <w:b/>
          <w:bCs/>
          <w:sz w:val="19"/>
          <w:szCs w:val="19"/>
        </w:rPr>
        <w:t xml:space="preserve">[1] </w:t>
      </w:r>
      <w:r>
        <w:rPr>
          <w:rFonts w:ascii="Calibri" w:eastAsia="Calibri" w:hAnsi="Calibri" w:cs="Calibri"/>
          <w:sz w:val="19"/>
          <w:szCs w:val="19"/>
        </w:rPr>
        <w:t xml:space="preserve">Pontiki, M. et al. (2014). SemEval-2014 Task 4: Aspect Based Sentiment Analysis. Proceedings of SemEval 2014, 27–35.  </w:t>
      </w:r>
      <w:hyperlink r:id="rId5" w:history="1">
        <w:r w:rsidR="00332BAE">
          <w:rPr>
            <w:rFonts w:ascii="Calibri" w:eastAsia="Calibri" w:hAnsi="Calibri" w:cs="Calibri"/>
            <w:color w:val="1155CC"/>
            <w:sz w:val="19"/>
            <w:szCs w:val="19"/>
            <w:u w:val="single"/>
          </w:rPr>
          <w:t>https://doi.org/10.3115/v1/S14-2004</w:t>
        </w:r>
      </w:hyperlink>
    </w:p>
    <w:p w14:paraId="48311F9C" w14:textId="77777777" w:rsidR="00332BAE" w:rsidRDefault="00000000">
      <w:pPr>
        <w:spacing w:after="140"/>
      </w:pPr>
      <w:r>
        <w:rPr>
          <w:rFonts w:ascii="Calibri" w:eastAsia="Calibri" w:hAnsi="Calibri" w:cs="Calibri"/>
          <w:b/>
          <w:bCs/>
          <w:sz w:val="19"/>
          <w:szCs w:val="19"/>
        </w:rPr>
        <w:t xml:space="preserve">[2] </w:t>
      </w:r>
      <w:r>
        <w:rPr>
          <w:rFonts w:ascii="Calibri" w:eastAsia="Calibri" w:hAnsi="Calibri" w:cs="Calibri"/>
          <w:sz w:val="19"/>
          <w:szCs w:val="19"/>
        </w:rPr>
        <w:t xml:space="preserve">Pontiki, M. et al. (2016). SemEval-2016 Task 5: Aspect Based Sentiment Analysis. Proceedings of SemEval 2016, 19–30.  </w:t>
      </w:r>
      <w:hyperlink r:id="rId6" w:history="1">
        <w:r w:rsidR="00332BAE">
          <w:rPr>
            <w:rFonts w:ascii="Calibri" w:eastAsia="Calibri" w:hAnsi="Calibri" w:cs="Calibri"/>
            <w:color w:val="1155CC"/>
            <w:sz w:val="19"/>
            <w:szCs w:val="19"/>
            <w:u w:val="single"/>
          </w:rPr>
          <w:t>https://doi.org/10.18653/v1/S16-1002</w:t>
        </w:r>
      </w:hyperlink>
    </w:p>
    <w:p w14:paraId="1F967293" w14:textId="77777777" w:rsidR="00332BAE" w:rsidRDefault="00000000">
      <w:pPr>
        <w:spacing w:after="140"/>
      </w:pPr>
      <w:r>
        <w:rPr>
          <w:rFonts w:ascii="Calibri" w:eastAsia="Calibri" w:hAnsi="Calibri" w:cs="Calibri"/>
          <w:b/>
          <w:bCs/>
          <w:sz w:val="19"/>
          <w:szCs w:val="19"/>
        </w:rPr>
        <w:t xml:space="preserve">[3] </w:t>
      </w:r>
      <w:r>
        <w:rPr>
          <w:rFonts w:ascii="Calibri" w:eastAsia="Calibri" w:hAnsi="Calibri" w:cs="Calibri"/>
          <w:sz w:val="19"/>
          <w:szCs w:val="19"/>
        </w:rPr>
        <w:t xml:space="preserve">Mohammad, S. (2018). Obtaining Reliable Human Ratings of Valence, Arousal, and Dominance for 20,000 English Words. Proceedings of ACL 2018, 174–184.  </w:t>
      </w:r>
      <w:hyperlink r:id="rId7" w:history="1">
        <w:r w:rsidR="00332BAE">
          <w:rPr>
            <w:rFonts w:ascii="Calibri" w:eastAsia="Calibri" w:hAnsi="Calibri" w:cs="Calibri"/>
            <w:color w:val="1155CC"/>
            <w:sz w:val="19"/>
            <w:szCs w:val="19"/>
            <w:u w:val="single"/>
          </w:rPr>
          <w:t>https://doi.org/10.18653/v1/P18-1017</w:t>
        </w:r>
      </w:hyperlink>
    </w:p>
    <w:p w14:paraId="69B62F24" w14:textId="77777777" w:rsidR="00332BAE" w:rsidRDefault="00000000">
      <w:pPr>
        <w:spacing w:after="140"/>
      </w:pPr>
      <w:r>
        <w:rPr>
          <w:rFonts w:ascii="Calibri" w:eastAsia="Calibri" w:hAnsi="Calibri" w:cs="Calibri"/>
          <w:b/>
          <w:bCs/>
          <w:sz w:val="19"/>
          <w:szCs w:val="19"/>
        </w:rPr>
        <w:t xml:space="preserve">[4] </w:t>
      </w:r>
      <w:r>
        <w:rPr>
          <w:rFonts w:ascii="Calibri" w:eastAsia="Calibri" w:hAnsi="Calibri" w:cs="Calibri"/>
          <w:sz w:val="19"/>
          <w:szCs w:val="19"/>
        </w:rPr>
        <w:t xml:space="preserve">Yu, L.-C., Becker, J., Muhammad, S.H. et al. (2026). SemEval-2026 Task 3: Dimensional Aspect-Based Sentiment Analysis (DimABSA).  </w:t>
      </w:r>
      <w:hyperlink r:id="rId8" w:history="1">
        <w:r w:rsidR="00332BAE">
          <w:rPr>
            <w:rFonts w:ascii="Calibri" w:eastAsia="Calibri" w:hAnsi="Calibri" w:cs="Calibri"/>
            <w:color w:val="1155CC"/>
            <w:sz w:val="19"/>
            <w:szCs w:val="19"/>
            <w:u w:val="single"/>
          </w:rPr>
          <w:t>https://arxiv.org/abs/2604.07066</w:t>
        </w:r>
      </w:hyperlink>
    </w:p>
    <w:p w14:paraId="0D3B6BB2" w14:textId="77777777" w:rsidR="00332BAE" w:rsidRDefault="00000000">
      <w:pPr>
        <w:spacing w:after="140"/>
      </w:pPr>
      <w:r>
        <w:rPr>
          <w:rFonts w:ascii="Calibri" w:eastAsia="Calibri" w:hAnsi="Calibri" w:cs="Calibri"/>
          <w:b/>
          <w:bCs/>
          <w:sz w:val="19"/>
          <w:szCs w:val="19"/>
        </w:rPr>
        <w:t xml:space="preserve">[5] </w:t>
      </w:r>
      <w:r>
        <w:rPr>
          <w:rFonts w:ascii="Calibri" w:eastAsia="Calibri" w:hAnsi="Calibri" w:cs="Calibri"/>
          <w:sz w:val="19"/>
          <w:szCs w:val="19"/>
        </w:rPr>
        <w:t xml:space="preserve">Lee, L.-H., Yu, L.-C. et al. (2026). DimABSA: Building Multilingual and Multidomain Datasets for Dimensional Aspect-Based Sentiment Analysis.  </w:t>
      </w:r>
      <w:hyperlink r:id="rId9" w:history="1">
        <w:r w:rsidR="00332BAE">
          <w:rPr>
            <w:rFonts w:ascii="Calibri" w:eastAsia="Calibri" w:hAnsi="Calibri" w:cs="Calibri"/>
            <w:color w:val="1155CC"/>
            <w:sz w:val="19"/>
            <w:szCs w:val="19"/>
            <w:u w:val="single"/>
          </w:rPr>
          <w:t>https://arxiv.org/abs/2601.23022</w:t>
        </w:r>
      </w:hyperlink>
    </w:p>
    <w:p w14:paraId="3B9F498E" w14:textId="77777777" w:rsidR="00332BAE" w:rsidRDefault="00000000">
      <w:pPr>
        <w:spacing w:after="140"/>
      </w:pPr>
      <w:r>
        <w:rPr>
          <w:rFonts w:ascii="Calibri" w:eastAsia="Calibri" w:hAnsi="Calibri" w:cs="Calibri"/>
          <w:b/>
          <w:bCs/>
          <w:sz w:val="19"/>
          <w:szCs w:val="19"/>
        </w:rPr>
        <w:t xml:space="preserve">[6] </w:t>
      </w:r>
      <w:r>
        <w:rPr>
          <w:rFonts w:ascii="Calibri" w:eastAsia="Calibri" w:hAnsi="Calibri" w:cs="Calibri"/>
          <w:sz w:val="19"/>
          <w:szCs w:val="19"/>
        </w:rPr>
        <w:t xml:space="preserve">Gazetas, S., Filandrianos, G. et al. (2026). AILS-NTUA at SemEval-2026 Task 3: Efficient Dimensional Aspect-Based Sentiment Analysis.  </w:t>
      </w:r>
      <w:hyperlink r:id="rId10" w:history="1">
        <w:r w:rsidR="00332BAE">
          <w:rPr>
            <w:rFonts w:ascii="Calibri" w:eastAsia="Calibri" w:hAnsi="Calibri" w:cs="Calibri"/>
            <w:color w:val="1155CC"/>
            <w:sz w:val="19"/>
            <w:szCs w:val="19"/>
            <w:u w:val="single"/>
          </w:rPr>
          <w:t>https://arxiv.org/abs/2603.04933</w:t>
        </w:r>
      </w:hyperlink>
    </w:p>
    <w:p w14:paraId="68D5A7C6" w14:textId="77777777" w:rsidR="00332BAE" w:rsidRDefault="00000000">
      <w:pPr>
        <w:spacing w:after="140"/>
      </w:pPr>
      <w:r>
        <w:rPr>
          <w:rFonts w:ascii="Calibri" w:eastAsia="Calibri" w:hAnsi="Calibri" w:cs="Calibri"/>
          <w:b/>
          <w:bCs/>
          <w:sz w:val="19"/>
          <w:szCs w:val="19"/>
        </w:rPr>
        <w:t xml:space="preserve">[7] </w:t>
      </w:r>
      <w:r>
        <w:rPr>
          <w:rFonts w:ascii="Calibri" w:eastAsia="Calibri" w:hAnsi="Calibri" w:cs="Calibri"/>
          <w:sz w:val="19"/>
          <w:szCs w:val="19"/>
        </w:rPr>
        <w:t xml:space="preserve">Zhu, S., Zhao, H., Wang, X. et al. (2024). ZZU-NLP at SIGHAN-2024 dimABSA Task: Aspect-Based Sentiment Analysis with Coarse-to-Fine In-Context Learning.  </w:t>
      </w:r>
      <w:hyperlink r:id="rId11" w:history="1">
        <w:r w:rsidR="00332BAE">
          <w:rPr>
            <w:rFonts w:ascii="Calibri" w:eastAsia="Calibri" w:hAnsi="Calibri" w:cs="Calibri"/>
            <w:color w:val="1155CC"/>
            <w:sz w:val="19"/>
            <w:szCs w:val="19"/>
            <w:u w:val="single"/>
          </w:rPr>
          <w:t>https://arxiv.org/abs/2407.15341</w:t>
        </w:r>
      </w:hyperlink>
    </w:p>
    <w:p w14:paraId="679232F1" w14:textId="77777777" w:rsidR="00332BAE" w:rsidRDefault="00000000">
      <w:pPr>
        <w:spacing w:after="140"/>
      </w:pPr>
      <w:r>
        <w:rPr>
          <w:rFonts w:ascii="Calibri" w:eastAsia="Calibri" w:hAnsi="Calibri" w:cs="Calibri"/>
          <w:b/>
          <w:bCs/>
          <w:sz w:val="19"/>
          <w:szCs w:val="19"/>
        </w:rPr>
        <w:t xml:space="preserve">[8] </w:t>
      </w:r>
      <w:r>
        <w:rPr>
          <w:rFonts w:ascii="Calibri" w:eastAsia="Calibri" w:hAnsi="Calibri" w:cs="Calibri"/>
          <w:sz w:val="19"/>
          <w:szCs w:val="19"/>
        </w:rPr>
        <w:t xml:space="preserve">Aguilar, G., Kar, S., Solorio, T. (2020). LinCE: A Centralized Benchmark for Linguistic Code-switching Evaluation. Proceedings of LREC 2020, 1803–1813.  </w:t>
      </w:r>
      <w:hyperlink r:id="rId12" w:history="1">
        <w:r w:rsidR="00332BAE">
          <w:rPr>
            <w:rFonts w:ascii="Calibri" w:eastAsia="Calibri" w:hAnsi="Calibri" w:cs="Calibri"/>
            <w:color w:val="1155CC"/>
            <w:sz w:val="19"/>
            <w:szCs w:val="19"/>
            <w:u w:val="single"/>
          </w:rPr>
          <w:t>https://aclanthology.org/2020.lrec-1.223/</w:t>
        </w:r>
      </w:hyperlink>
    </w:p>
    <w:p w14:paraId="6EB9237C" w14:textId="77777777" w:rsidR="00332BAE" w:rsidRDefault="00000000">
      <w:pPr>
        <w:spacing w:after="140"/>
      </w:pPr>
      <w:r>
        <w:rPr>
          <w:rFonts w:ascii="Calibri" w:eastAsia="Calibri" w:hAnsi="Calibri" w:cs="Calibri"/>
          <w:b/>
          <w:bCs/>
          <w:sz w:val="19"/>
          <w:szCs w:val="19"/>
        </w:rPr>
        <w:t xml:space="preserve">[9] </w:t>
      </w:r>
      <w:r>
        <w:rPr>
          <w:rFonts w:ascii="Calibri" w:eastAsia="Calibri" w:hAnsi="Calibri" w:cs="Calibri"/>
          <w:sz w:val="19"/>
          <w:szCs w:val="19"/>
        </w:rPr>
        <w:t xml:space="preserve">Khanuja, S., Dandapat, S., Srinivasan, A., Sitaram, S., Choudhury, M. (2020). GLUECoS: An Evaluation Benchmark for Code-Switched NLP. Proceedings of ACL 2020, 3575–3585.  </w:t>
      </w:r>
      <w:hyperlink r:id="rId13" w:history="1">
        <w:r w:rsidR="00332BAE">
          <w:rPr>
            <w:rFonts w:ascii="Calibri" w:eastAsia="Calibri" w:hAnsi="Calibri" w:cs="Calibri"/>
            <w:color w:val="1155CC"/>
            <w:sz w:val="19"/>
            <w:szCs w:val="19"/>
            <w:u w:val="single"/>
          </w:rPr>
          <w:t>https://doi.org/10.18653/v1/2020.acl-main.329</w:t>
        </w:r>
      </w:hyperlink>
    </w:p>
    <w:p w14:paraId="4F934761" w14:textId="77777777" w:rsidR="00332BAE" w:rsidRDefault="00000000">
      <w:pPr>
        <w:spacing w:after="140"/>
      </w:pPr>
      <w:r>
        <w:rPr>
          <w:rFonts w:ascii="Calibri" w:eastAsia="Calibri" w:hAnsi="Calibri" w:cs="Calibri"/>
          <w:b/>
          <w:bCs/>
          <w:sz w:val="19"/>
          <w:szCs w:val="19"/>
        </w:rPr>
        <w:t xml:space="preserve">[10] </w:t>
      </w:r>
      <w:r>
        <w:rPr>
          <w:rFonts w:ascii="Calibri" w:eastAsia="Calibri" w:hAnsi="Calibri" w:cs="Calibri"/>
          <w:sz w:val="19"/>
          <w:szCs w:val="19"/>
        </w:rPr>
        <w:t xml:space="preserve">Joshi, A., Prabhu, A., Shrivastava, M., Varma, V. (2016). Towards Sub-Word Level Compositions for Sentiment Analysis of Hindi-English Code Mixed Text. Proceedings of COLING 2016, 2482–2491.  </w:t>
      </w:r>
      <w:hyperlink r:id="rId14" w:history="1">
        <w:r w:rsidR="00332BAE">
          <w:rPr>
            <w:rFonts w:ascii="Calibri" w:eastAsia="Calibri" w:hAnsi="Calibri" w:cs="Calibri"/>
            <w:color w:val="1155CC"/>
            <w:sz w:val="19"/>
            <w:szCs w:val="19"/>
            <w:u w:val="single"/>
          </w:rPr>
          <w:t>https://aclanthology.org/C16-1234/</w:t>
        </w:r>
      </w:hyperlink>
    </w:p>
    <w:p w14:paraId="60262D7A" w14:textId="77777777" w:rsidR="00332BAE" w:rsidRDefault="00000000">
      <w:pPr>
        <w:spacing w:after="140"/>
      </w:pPr>
      <w:r>
        <w:rPr>
          <w:rFonts w:ascii="Calibri" w:eastAsia="Calibri" w:hAnsi="Calibri" w:cs="Calibri"/>
          <w:b/>
          <w:bCs/>
          <w:sz w:val="19"/>
          <w:szCs w:val="19"/>
        </w:rPr>
        <w:t xml:space="preserve">[11] </w:t>
      </w:r>
      <w:r>
        <w:rPr>
          <w:rFonts w:ascii="Calibri" w:eastAsia="Calibri" w:hAnsi="Calibri" w:cs="Calibri"/>
          <w:sz w:val="19"/>
          <w:szCs w:val="19"/>
        </w:rPr>
        <w:t xml:space="preserve">Raihan, N., Goswami, D. et al. (2024). Code-Mixed Sentiment and Hate-Speech Prediction.  </w:t>
      </w:r>
      <w:hyperlink r:id="rId15" w:history="1">
        <w:r w:rsidR="00332BAE">
          <w:rPr>
            <w:rFonts w:ascii="Calibri" w:eastAsia="Calibri" w:hAnsi="Calibri" w:cs="Calibri"/>
            <w:color w:val="1155CC"/>
            <w:sz w:val="19"/>
            <w:szCs w:val="19"/>
            <w:u w:val="single"/>
          </w:rPr>
          <w:t>https://arxiv.org/abs/2405.12929</w:t>
        </w:r>
      </w:hyperlink>
    </w:p>
    <w:p w14:paraId="33AB87F9" w14:textId="77777777" w:rsidR="00332BAE" w:rsidRDefault="00000000">
      <w:pPr>
        <w:spacing w:after="140"/>
      </w:pPr>
      <w:r>
        <w:rPr>
          <w:rFonts w:ascii="Calibri" w:eastAsia="Calibri" w:hAnsi="Calibri" w:cs="Calibri"/>
          <w:b/>
          <w:bCs/>
          <w:sz w:val="19"/>
          <w:szCs w:val="19"/>
        </w:rPr>
        <w:t xml:space="preserve">[12] </w:t>
      </w:r>
      <w:r>
        <w:rPr>
          <w:rFonts w:ascii="Calibri" w:eastAsia="Calibri" w:hAnsi="Calibri" w:cs="Calibri"/>
          <w:sz w:val="19"/>
          <w:szCs w:val="19"/>
        </w:rPr>
        <w:t xml:space="preserve">Nayak, R., Joshi, R. (2022). L3Cube-HingCorpus and HingBERT: A Code Mixed Hindi-English Dataset and BERT Language Models.  </w:t>
      </w:r>
      <w:hyperlink r:id="rId16" w:history="1">
        <w:r w:rsidR="00332BAE">
          <w:rPr>
            <w:rFonts w:ascii="Calibri" w:eastAsia="Calibri" w:hAnsi="Calibri" w:cs="Calibri"/>
            <w:color w:val="1155CC"/>
            <w:sz w:val="19"/>
            <w:szCs w:val="19"/>
            <w:u w:val="single"/>
          </w:rPr>
          <w:t>https://arxiv.org/abs/2204.08398</w:t>
        </w:r>
      </w:hyperlink>
    </w:p>
    <w:p w14:paraId="568C2F73" w14:textId="77777777" w:rsidR="00332BAE" w:rsidRDefault="00000000">
      <w:pPr>
        <w:spacing w:after="140"/>
      </w:pPr>
      <w:r>
        <w:rPr>
          <w:rFonts w:ascii="Calibri" w:eastAsia="Calibri" w:hAnsi="Calibri" w:cs="Calibri"/>
          <w:b/>
          <w:bCs/>
          <w:sz w:val="19"/>
          <w:szCs w:val="19"/>
        </w:rPr>
        <w:t xml:space="preserve">[13] </w:t>
      </w:r>
      <w:r>
        <w:rPr>
          <w:rFonts w:ascii="Calibri" w:eastAsia="Calibri" w:hAnsi="Calibri" w:cs="Calibri"/>
          <w:sz w:val="19"/>
          <w:szCs w:val="19"/>
        </w:rPr>
        <w:t xml:space="preserve">Sheth, R., Nisar, S. et al. (2025). COMI-LINGUA: Expert Annotated Large-Scale Dataset for Multitask NLP in Hindi-English Code-Mixing. Findings of EMNLP 2025.  </w:t>
      </w:r>
      <w:hyperlink r:id="rId17" w:history="1">
        <w:r w:rsidR="00332BAE">
          <w:rPr>
            <w:rFonts w:ascii="Calibri" w:eastAsia="Calibri" w:hAnsi="Calibri" w:cs="Calibri"/>
            <w:color w:val="1155CC"/>
            <w:sz w:val="19"/>
            <w:szCs w:val="19"/>
            <w:u w:val="single"/>
          </w:rPr>
          <w:t>https://arxiv.org/abs/2503.21670</w:t>
        </w:r>
      </w:hyperlink>
    </w:p>
    <w:p w14:paraId="5B05405E" w14:textId="77777777" w:rsidR="00332BAE" w:rsidRDefault="00000000">
      <w:pPr>
        <w:spacing w:after="140"/>
      </w:pPr>
      <w:r>
        <w:rPr>
          <w:rFonts w:ascii="Calibri" w:eastAsia="Calibri" w:hAnsi="Calibri" w:cs="Calibri"/>
          <w:b/>
          <w:bCs/>
          <w:sz w:val="19"/>
          <w:szCs w:val="19"/>
        </w:rPr>
        <w:t xml:space="preserve">[14] </w:t>
      </w:r>
      <w:r>
        <w:rPr>
          <w:rFonts w:ascii="Calibri" w:eastAsia="Calibri" w:hAnsi="Calibri" w:cs="Calibri"/>
          <w:sz w:val="19"/>
          <w:szCs w:val="19"/>
        </w:rPr>
        <w:t xml:space="preserve">Wu, C., Ma, B., Liu, Y. et al. (2025). M-ABSA: A Multilingual Dataset for Aspect-Based Sentiment Analysis. Proceedings of EMNLP 2025.  </w:t>
      </w:r>
      <w:hyperlink r:id="rId18" w:history="1">
        <w:r w:rsidR="00332BAE">
          <w:rPr>
            <w:rFonts w:ascii="Calibri" w:eastAsia="Calibri" w:hAnsi="Calibri" w:cs="Calibri"/>
            <w:color w:val="1155CC"/>
            <w:sz w:val="19"/>
            <w:szCs w:val="19"/>
            <w:u w:val="single"/>
          </w:rPr>
          <w:t>https://aclanthology.org/2025.emnlp-main.128/</w:t>
        </w:r>
      </w:hyperlink>
    </w:p>
    <w:p w14:paraId="73833E12" w14:textId="77777777" w:rsidR="00332BAE" w:rsidRDefault="00000000">
      <w:pPr>
        <w:spacing w:after="140"/>
      </w:pPr>
      <w:r>
        <w:rPr>
          <w:rFonts w:ascii="Calibri" w:eastAsia="Calibri" w:hAnsi="Calibri" w:cs="Calibri"/>
          <w:b/>
          <w:bCs/>
          <w:sz w:val="19"/>
          <w:szCs w:val="19"/>
        </w:rPr>
        <w:t xml:space="preserve">[15] </w:t>
      </w:r>
      <w:r>
        <w:rPr>
          <w:rFonts w:ascii="Calibri" w:eastAsia="Calibri" w:hAnsi="Calibri" w:cs="Calibri"/>
          <w:sz w:val="19"/>
          <w:szCs w:val="19"/>
        </w:rPr>
        <w:t xml:space="preserve">Sterner, I., Teufel, S. (2025). Code-Switching and Syntax: A Large-Scale Experiment. Findings of ACL 2025, 11526–11533.  </w:t>
      </w:r>
      <w:hyperlink r:id="rId19" w:history="1">
        <w:r w:rsidR="00332BAE">
          <w:rPr>
            <w:rFonts w:ascii="Calibri" w:eastAsia="Calibri" w:hAnsi="Calibri" w:cs="Calibri"/>
            <w:color w:val="1155CC"/>
            <w:sz w:val="19"/>
            <w:szCs w:val="19"/>
            <w:u w:val="single"/>
          </w:rPr>
          <w:t>https://aclanthology.org/2025.findings-acl.600/</w:t>
        </w:r>
      </w:hyperlink>
    </w:p>
    <w:p w14:paraId="0CF13646" w14:textId="77777777" w:rsidR="00332BAE" w:rsidRDefault="00000000">
      <w:pPr>
        <w:spacing w:after="140"/>
      </w:pPr>
      <w:r>
        <w:rPr>
          <w:rFonts w:ascii="Calibri" w:eastAsia="Calibri" w:hAnsi="Calibri" w:cs="Calibri"/>
          <w:b/>
          <w:bCs/>
          <w:sz w:val="19"/>
          <w:szCs w:val="19"/>
        </w:rPr>
        <w:t xml:space="preserve">[16] </w:t>
      </w:r>
      <w:r>
        <w:rPr>
          <w:rFonts w:ascii="Calibri" w:eastAsia="Calibri" w:hAnsi="Calibri" w:cs="Calibri"/>
          <w:sz w:val="19"/>
          <w:szCs w:val="19"/>
        </w:rPr>
        <w:t xml:space="preserve">Kuwanto, G., Agarwal, C., Winata, G.I., Wijaya, D.T. (2024). Linguistics Theory Meets LLM: Code-Switched Text Generation via Equivalence Constrained Large Language Models.  </w:t>
      </w:r>
      <w:hyperlink r:id="rId20" w:history="1">
        <w:r w:rsidR="00332BAE">
          <w:rPr>
            <w:rFonts w:ascii="Calibri" w:eastAsia="Calibri" w:hAnsi="Calibri" w:cs="Calibri"/>
            <w:color w:val="1155CC"/>
            <w:sz w:val="19"/>
            <w:szCs w:val="19"/>
            <w:u w:val="single"/>
          </w:rPr>
          <w:t>https://arxiv.org/abs/2410.22660</w:t>
        </w:r>
      </w:hyperlink>
    </w:p>
    <w:p w14:paraId="1CBBC71E" w14:textId="77777777" w:rsidR="00332BAE" w:rsidRDefault="00000000">
      <w:pPr>
        <w:spacing w:after="140"/>
      </w:pPr>
      <w:r>
        <w:rPr>
          <w:rFonts w:ascii="Calibri" w:eastAsia="Calibri" w:hAnsi="Calibri" w:cs="Calibri"/>
          <w:b/>
          <w:bCs/>
          <w:sz w:val="19"/>
          <w:szCs w:val="19"/>
        </w:rPr>
        <w:t xml:space="preserve">[17] </w:t>
      </w:r>
      <w:r>
        <w:rPr>
          <w:rFonts w:ascii="Calibri" w:eastAsia="Calibri" w:hAnsi="Calibri" w:cs="Calibri"/>
          <w:sz w:val="19"/>
          <w:szCs w:val="19"/>
        </w:rPr>
        <w:t xml:space="preserve">Conneau, A. et al. (2020). Unsupervised Cross-lingual Representation Learning at Scale. Proceedings of ACL 2020, 8440–8451.  </w:t>
      </w:r>
      <w:hyperlink r:id="rId21" w:history="1">
        <w:r w:rsidR="00332BAE">
          <w:rPr>
            <w:rFonts w:ascii="Calibri" w:eastAsia="Calibri" w:hAnsi="Calibri" w:cs="Calibri"/>
            <w:color w:val="1155CC"/>
            <w:sz w:val="19"/>
            <w:szCs w:val="19"/>
            <w:u w:val="single"/>
          </w:rPr>
          <w:t>https://doi.org/10.18653/v1/2020.acl-main.747</w:t>
        </w:r>
      </w:hyperlink>
    </w:p>
    <w:p w14:paraId="6AD27967" w14:textId="77777777" w:rsidR="00332BAE" w:rsidRDefault="00000000">
      <w:pPr>
        <w:spacing w:after="140"/>
      </w:pPr>
      <w:r>
        <w:rPr>
          <w:rFonts w:ascii="Calibri" w:eastAsia="Calibri" w:hAnsi="Calibri" w:cs="Calibri"/>
          <w:b/>
          <w:bCs/>
          <w:sz w:val="19"/>
          <w:szCs w:val="19"/>
        </w:rPr>
        <w:lastRenderedPageBreak/>
        <w:t xml:space="preserve">[18] </w:t>
      </w:r>
      <w:r>
        <w:rPr>
          <w:rFonts w:ascii="Calibri" w:eastAsia="Calibri" w:hAnsi="Calibri" w:cs="Calibri"/>
          <w:sz w:val="19"/>
          <w:szCs w:val="19"/>
        </w:rPr>
        <w:t xml:space="preserve">Kakwani, D., Kunchukuttan, A. et al. (2020). IndicNLPSuite: Monolingual Corpora, Evaluation Benchmarks and Pre-trained Multilingual Language Models for Indian Languages. Findings of ACL: EMNLP 2020, 4948–4961.  </w:t>
      </w:r>
      <w:hyperlink r:id="rId22" w:history="1">
        <w:r w:rsidR="00332BAE">
          <w:rPr>
            <w:rFonts w:ascii="Calibri" w:eastAsia="Calibri" w:hAnsi="Calibri" w:cs="Calibri"/>
            <w:color w:val="1155CC"/>
            <w:sz w:val="19"/>
            <w:szCs w:val="19"/>
            <w:u w:val="single"/>
          </w:rPr>
          <w:t>https://doi.org/10.18653/v1/2020.findings-emnlp.445</w:t>
        </w:r>
      </w:hyperlink>
    </w:p>
    <w:p w14:paraId="31B4F11F" w14:textId="636B8955" w:rsidR="00332BAE" w:rsidRDefault="00000000" w:rsidP="00F51918">
      <w:pPr>
        <w:spacing w:after="140"/>
      </w:pPr>
      <w:r>
        <w:rPr>
          <w:rFonts w:ascii="Calibri" w:eastAsia="Calibri" w:hAnsi="Calibri" w:cs="Calibri"/>
          <w:b/>
          <w:bCs/>
          <w:sz w:val="19"/>
          <w:szCs w:val="19"/>
        </w:rPr>
        <w:t xml:space="preserve">[19] </w:t>
      </w:r>
      <w:r>
        <w:rPr>
          <w:rFonts w:ascii="Calibri" w:eastAsia="Calibri" w:hAnsi="Calibri" w:cs="Calibri"/>
          <w:sz w:val="19"/>
          <w:szCs w:val="19"/>
        </w:rPr>
        <w:t xml:space="preserve">Recent Hinglish sarcasm-detection study (2026). Small Wins Big: Comparing Large Language Models and Domain Fine-Tuned Models for Sarcasm Detection in Code-Mixed Hinglish Text.  </w:t>
      </w:r>
      <w:hyperlink r:id="rId23" w:history="1">
        <w:r w:rsidR="00332BAE">
          <w:rPr>
            <w:rFonts w:ascii="Calibri" w:eastAsia="Calibri" w:hAnsi="Calibri" w:cs="Calibri"/>
            <w:color w:val="1155CC"/>
            <w:sz w:val="19"/>
            <w:szCs w:val="19"/>
            <w:u w:val="single"/>
          </w:rPr>
          <w:t>https://arxiv.org/abs/2602.21933</w:t>
        </w:r>
      </w:hyperlink>
    </w:p>
    <w:sectPr w:rsidR="00332B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17B3E"/>
    <w:multiLevelType w:val="hybridMultilevel"/>
    <w:tmpl w:val="468E4646"/>
    <w:lvl w:ilvl="0" w:tplc="5C22D784">
      <w:start w:val="1"/>
      <w:numFmt w:val="bullet"/>
      <w:lvlText w:val="●"/>
      <w:lvlJc w:val="left"/>
      <w:pPr>
        <w:ind w:left="720" w:hanging="360"/>
      </w:pPr>
    </w:lvl>
    <w:lvl w:ilvl="1" w:tplc="5D9235FA">
      <w:start w:val="1"/>
      <w:numFmt w:val="bullet"/>
      <w:lvlText w:val="○"/>
      <w:lvlJc w:val="left"/>
      <w:pPr>
        <w:ind w:left="1440" w:hanging="360"/>
      </w:pPr>
    </w:lvl>
    <w:lvl w:ilvl="2" w:tplc="409E5C6C">
      <w:start w:val="1"/>
      <w:numFmt w:val="bullet"/>
      <w:lvlText w:val="■"/>
      <w:lvlJc w:val="left"/>
      <w:pPr>
        <w:ind w:left="2160" w:hanging="360"/>
      </w:pPr>
    </w:lvl>
    <w:lvl w:ilvl="3" w:tplc="0E788BA4">
      <w:start w:val="1"/>
      <w:numFmt w:val="bullet"/>
      <w:lvlText w:val="●"/>
      <w:lvlJc w:val="left"/>
      <w:pPr>
        <w:ind w:left="2880" w:hanging="360"/>
      </w:pPr>
    </w:lvl>
    <w:lvl w:ilvl="4" w:tplc="98EC0B3E">
      <w:start w:val="1"/>
      <w:numFmt w:val="bullet"/>
      <w:lvlText w:val="○"/>
      <w:lvlJc w:val="left"/>
      <w:pPr>
        <w:ind w:left="3600" w:hanging="360"/>
      </w:pPr>
    </w:lvl>
    <w:lvl w:ilvl="5" w:tplc="8856CD32">
      <w:start w:val="1"/>
      <w:numFmt w:val="bullet"/>
      <w:lvlText w:val="■"/>
      <w:lvlJc w:val="left"/>
      <w:pPr>
        <w:ind w:left="4320" w:hanging="360"/>
      </w:pPr>
    </w:lvl>
    <w:lvl w:ilvl="6" w:tplc="B718AF5E">
      <w:start w:val="1"/>
      <w:numFmt w:val="bullet"/>
      <w:lvlText w:val="●"/>
      <w:lvlJc w:val="left"/>
      <w:pPr>
        <w:ind w:left="5040" w:hanging="360"/>
      </w:pPr>
    </w:lvl>
    <w:lvl w:ilvl="7" w:tplc="4E0802CC">
      <w:start w:val="1"/>
      <w:numFmt w:val="bullet"/>
      <w:lvlText w:val="●"/>
      <w:lvlJc w:val="left"/>
      <w:pPr>
        <w:ind w:left="5760" w:hanging="360"/>
      </w:pPr>
    </w:lvl>
    <w:lvl w:ilvl="8" w:tplc="9D00B5EA">
      <w:start w:val="1"/>
      <w:numFmt w:val="bullet"/>
      <w:lvlText w:val="●"/>
      <w:lvlJc w:val="left"/>
      <w:pPr>
        <w:ind w:left="6480" w:hanging="360"/>
      </w:pPr>
    </w:lvl>
  </w:abstractNum>
  <w:num w:numId="1" w16cid:durableId="1202280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BAE"/>
    <w:rsid w:val="00332BAE"/>
    <w:rsid w:val="00765B72"/>
    <w:rsid w:val="00797FA7"/>
    <w:rsid w:val="00E64EAF"/>
    <w:rsid w:val="00F51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55F4"/>
  <w15:docId w15:val="{BDB04C1D-67DF-4328-B599-DED82C986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604.07066" TargetMode="External"/><Relationship Id="rId13" Type="http://schemas.openxmlformats.org/officeDocument/2006/relationships/hyperlink" Target="https://doi.org/10.18653/v1/2020.acl-main.329" TargetMode="External"/><Relationship Id="rId18" Type="http://schemas.openxmlformats.org/officeDocument/2006/relationships/hyperlink" Target="https://aclanthology.org/2025.emnlp-main.128/" TargetMode="External"/><Relationship Id="rId3" Type="http://schemas.openxmlformats.org/officeDocument/2006/relationships/settings" Target="settings.xml"/><Relationship Id="rId21" Type="http://schemas.openxmlformats.org/officeDocument/2006/relationships/hyperlink" Target="https://doi.org/10.18653/v1/2020.acl-main.747" TargetMode="External"/><Relationship Id="rId7" Type="http://schemas.openxmlformats.org/officeDocument/2006/relationships/hyperlink" Target="https://doi.org/10.18653/v1/P18-1017" TargetMode="External"/><Relationship Id="rId12" Type="http://schemas.openxmlformats.org/officeDocument/2006/relationships/hyperlink" Target="https://aclanthology.org/2020.lrec-1.223/" TargetMode="External"/><Relationship Id="rId17" Type="http://schemas.openxmlformats.org/officeDocument/2006/relationships/hyperlink" Target="https://arxiv.org/abs/2503.2167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204.08398" TargetMode="External"/><Relationship Id="rId20" Type="http://schemas.openxmlformats.org/officeDocument/2006/relationships/hyperlink" Target="https://arxiv.org/abs/2410.22660" TargetMode="External"/><Relationship Id="rId1" Type="http://schemas.openxmlformats.org/officeDocument/2006/relationships/numbering" Target="numbering.xml"/><Relationship Id="rId6" Type="http://schemas.openxmlformats.org/officeDocument/2006/relationships/hyperlink" Target="https://doi.org/10.18653/v1/S16-1002" TargetMode="External"/><Relationship Id="rId11" Type="http://schemas.openxmlformats.org/officeDocument/2006/relationships/hyperlink" Target="https://arxiv.org/abs/2407.15341" TargetMode="External"/><Relationship Id="rId24" Type="http://schemas.openxmlformats.org/officeDocument/2006/relationships/fontTable" Target="fontTable.xml"/><Relationship Id="rId5" Type="http://schemas.openxmlformats.org/officeDocument/2006/relationships/hyperlink" Target="https://doi.org/10.3115/v1/S14-2004" TargetMode="External"/><Relationship Id="rId15" Type="http://schemas.openxmlformats.org/officeDocument/2006/relationships/hyperlink" Target="https://arxiv.org/abs/2405.12929" TargetMode="External"/><Relationship Id="rId23" Type="http://schemas.openxmlformats.org/officeDocument/2006/relationships/hyperlink" Target="https://arxiv.org/abs/2602.21933" TargetMode="External"/><Relationship Id="rId10" Type="http://schemas.openxmlformats.org/officeDocument/2006/relationships/hyperlink" Target="https://arxiv.org/abs/2603.04933" TargetMode="External"/><Relationship Id="rId19" Type="http://schemas.openxmlformats.org/officeDocument/2006/relationships/hyperlink" Target="https://aclanthology.org/2025.findings-acl.600/" TargetMode="External"/><Relationship Id="rId4" Type="http://schemas.openxmlformats.org/officeDocument/2006/relationships/webSettings" Target="webSettings.xml"/><Relationship Id="rId9" Type="http://schemas.openxmlformats.org/officeDocument/2006/relationships/hyperlink" Target="https://arxiv.org/abs/2601.23022" TargetMode="External"/><Relationship Id="rId14" Type="http://schemas.openxmlformats.org/officeDocument/2006/relationships/hyperlink" Target="https://aclanthology.org/C16-1234/" TargetMode="External"/><Relationship Id="rId22" Type="http://schemas.openxmlformats.org/officeDocument/2006/relationships/hyperlink" Target="https://doi.org/10.18653/v1/2020.findings-emnlp.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2194</Words>
  <Characters>12506</Characters>
  <Application>Microsoft Office Word</Application>
  <DocSecurity>0</DocSecurity>
  <Lines>104</Lines>
  <Paragraphs>29</Paragraphs>
  <ScaleCrop>false</ScaleCrop>
  <Company/>
  <LinksUpToDate>false</LinksUpToDate>
  <CharactersWithSpaces>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Aaditya Panda</cp:lastModifiedBy>
  <cp:revision>3</cp:revision>
  <dcterms:created xsi:type="dcterms:W3CDTF">2026-08-16T10:49:00Z</dcterms:created>
  <dcterms:modified xsi:type="dcterms:W3CDTF">2026-08-18T06:32:00Z</dcterms:modified>
</cp:coreProperties>
</file>