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INVESTMENT COMMITTEE MEMORANDUM</w:t>
      </w:r>
    </w:p>
    <w:p>
      <w:pPr>
        <w:jc w:val="center"/>
      </w:pPr>
      <w:r>
        <w:rPr>
          <w:i/>
          <w:color w:val="2F5496"/>
          <w:sz w:val="20"/>
        </w:rPr>
        <w:t>Proposed LBO Acquisition — Domino's Pizza Group PLC</w:t>
      </w:r>
    </w:p>
    <w:p>
      <w:pPr>
        <w:jc w:val="center"/>
      </w:pPr>
      <w:r>
        <w:rPr>
          <w:i/>
          <w:color w:val="2F5496"/>
          <w:sz w:val="20"/>
        </w:rPr>
        <w:t>Prepared by: Mrinal Bhargava  |  Date: June 2026  |  CONFIDENTIAL — ILLUSTRATIVE</w:t>
      </w:r>
    </w:p>
    <w:p/>
    <w:p>
      <w:pPr>
        <w:pStyle w:val="Heading1"/>
      </w:pPr>
      <w:r>
        <w:t>1. Investment Thesis</w:t>
      </w:r>
    </w:p>
    <w:p>
      <w:pPr/>
      <w:r>
        <w:t>We recommend acquiring Domino's Pizza Group PLC ('Domino's' or 'the Company') via a leveraged buyout at an entry enterprise value of £1,043m (9.0x LTM EBITDA of £115.9m). The Company is a capital-light franchise operator with highly predictable cash flows, market-leading UK delivery brand recognition, and meaningful operational improvement opportunities under PE ownership.</w:t>
      </w:r>
    </w:p>
    <w:p>
      <w:pPr>
        <w:pStyle w:val="ListBullet"/>
      </w:pPr>
      <w:r>
        <w:t>Market position: ~99% UK brand awareness; 1,300+ franchise stores with embedded royalty income stream providing recession-resilient revenue.</w:t>
      </w:r>
    </w:p>
    <w:p>
      <w:pPr>
        <w:pStyle w:val="ListBullet"/>
      </w:pPr>
      <w:r>
        <w:t>Cash generation: EBITDA-to-FCF conversion &gt;75% due to franchise model (minimal CapEx, low working capital requirements).</w:t>
      </w:r>
    </w:p>
    <w:p>
      <w:pPr>
        <w:pStyle w:val="ListBullet"/>
      </w:pPr>
      <w:r>
        <w:t>Operational upside: supply chain renegotiation, digital channel monetisation, and international franchise expansion offer identifiable margin levers of +30–80bps per annum.</w:t>
      </w:r>
    </w:p>
    <w:p>
      <w:pPr>
        <w:pStyle w:val="ListBullet"/>
      </w:pPr>
      <w:r>
        <w:t>Exit path: multiple trade sale buyers (global food delivery platforms, consumer PE funds) or IPO; 5-year hold aligned with fund cycle.</w:t>
      </w:r>
    </w:p>
    <w:p>
      <w:pPr>
        <w:pStyle w:val="Heading1"/>
      </w:pPr>
      <w:r>
        <w:t>2. Transaction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Entry EV / EBITDA</w:t>
            </w:r>
          </w:p>
        </w:tc>
        <w:tc>
          <w:tcPr>
            <w:tcW w:type="dxa" w:w="3120"/>
          </w:tcPr>
          <w:p>
            <w:r>
              <w:t>9.0x</w:t>
            </w:r>
          </w:p>
        </w:tc>
        <w:tc>
          <w:tcPr>
            <w:tcW w:type="dxa" w:w="3120"/>
          </w:tcPr>
          <w:p>
            <w:r>
              <w:t>In line with comparable franchise LBO comps</w:t>
            </w:r>
          </w:p>
        </w:tc>
      </w:tr>
      <w:tr>
        <w:tc>
          <w:tcPr>
            <w:tcW w:type="dxa" w:w="3120"/>
          </w:tcPr>
          <w:p>
            <w:r>
              <w:t>LTM EBITDA at Entry</w:t>
            </w:r>
          </w:p>
        </w:tc>
        <w:tc>
          <w:tcPr>
            <w:tcW w:type="dxa" w:w="3120"/>
          </w:tcPr>
          <w:p>
            <w:r>
              <w:t>£115.9m</w:t>
            </w:r>
          </w:p>
        </w:tc>
        <w:tc>
          <w:tcPr>
            <w:tcW w:type="dxa" w:w="3120"/>
          </w:tcPr>
          <w:p>
            <w:r>
              <w:t>FY2023A (illustrative, pre-IFRS 16)</w:t>
            </w:r>
          </w:p>
        </w:tc>
      </w:tr>
      <w:tr>
        <w:tc>
          <w:tcPr>
            <w:tcW w:type="dxa" w:w="3120"/>
          </w:tcPr>
          <w:p>
            <w:r>
              <w:t>Entry Enterprise Value</w:t>
            </w:r>
          </w:p>
        </w:tc>
        <w:tc>
          <w:tcPr>
            <w:tcW w:type="dxa" w:w="3120"/>
          </w:tcPr>
          <w:p>
            <w:r>
              <w:t>£1,043.1m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Senior Secured Debt</w:t>
            </w:r>
          </w:p>
        </w:tc>
        <w:tc>
          <w:tcPr>
            <w:tcW w:type="dxa" w:w="3120"/>
          </w:tcPr>
          <w:p>
            <w:r>
              <w:t>£405.7m</w:t>
            </w:r>
          </w:p>
        </w:tc>
        <w:tc>
          <w:tcPr>
            <w:tcW w:type="dxa" w:w="3120"/>
          </w:tcPr>
          <w:p>
            <w:r>
              <w:t>3.5x EBITDA @ SONIA+350bps (8.75%)</w:t>
            </w:r>
          </w:p>
        </w:tc>
      </w:tr>
      <w:tr>
        <w:tc>
          <w:tcPr>
            <w:tcW w:type="dxa" w:w="3120"/>
          </w:tcPr>
          <w:p>
            <w:r>
              <w:t>Mezzanine Debt</w:t>
            </w:r>
          </w:p>
        </w:tc>
        <w:tc>
          <w:tcPr>
            <w:tcW w:type="dxa" w:w="3120"/>
          </w:tcPr>
          <w:p>
            <w:r>
              <w:t>£86.9m</w:t>
            </w:r>
          </w:p>
        </w:tc>
        <w:tc>
          <w:tcPr>
            <w:tcW w:type="dxa" w:w="3120"/>
          </w:tcPr>
          <w:p>
            <w:r>
              <w:t>0.75x EBITDA @ 12.50% fixed</w:t>
            </w:r>
          </w:p>
        </w:tc>
      </w:tr>
      <w:tr>
        <w:tc>
          <w:tcPr>
            <w:tcW w:type="dxa" w:w="3120"/>
          </w:tcPr>
          <w:p>
            <w:r>
              <w:t>Total Leverage</w:t>
            </w:r>
          </w:p>
        </w:tc>
        <w:tc>
          <w:tcPr>
            <w:tcW w:type="dxa" w:w="3120"/>
          </w:tcPr>
          <w:p>
            <w:r>
              <w:t>4.3x EBITDA</w:t>
            </w:r>
          </w:p>
        </w:tc>
        <w:tc>
          <w:tcPr>
            <w:tcW w:type="dxa" w:w="3120"/>
          </w:tcPr>
          <w:p>
            <w:r>
              <w:t>£492.6m</w:t>
            </w:r>
          </w:p>
        </w:tc>
      </w:tr>
      <w:tr>
        <w:tc>
          <w:tcPr>
            <w:tcW w:type="dxa" w:w="3120"/>
          </w:tcPr>
          <w:p>
            <w:r>
              <w:t>PE Equity Contribution</w:t>
            </w:r>
          </w:p>
        </w:tc>
        <w:tc>
          <w:tcPr>
            <w:tcW w:type="dxa" w:w="3120"/>
          </w:tcPr>
          <w:p>
            <w:r>
              <w:t>£581.3m</w:t>
            </w:r>
          </w:p>
        </w:tc>
        <w:tc>
          <w:tcPr>
            <w:tcW w:type="dxa" w:w="3120"/>
          </w:tcPr>
          <w:p>
            <w:r>
              <w:t>54% of total capitalisation</w:t>
            </w:r>
          </w:p>
        </w:tc>
      </w:tr>
      <w:tr>
        <w:tc>
          <w:tcPr>
            <w:tcW w:type="dxa" w:w="3120"/>
          </w:tcPr>
          <w:p>
            <w:r>
              <w:t>Modigliani-Miller Tax Shield</w:t>
            </w:r>
          </w:p>
        </w:tc>
        <w:tc>
          <w:tcPr>
            <w:tcW w:type="dxa" w:w="3120"/>
          </w:tcPr>
          <w:p>
            <w:r>
              <w:t>£123.2m</w:t>
            </w:r>
          </w:p>
        </w:tc>
        <w:tc>
          <w:tcPr>
            <w:tcW w:type="dxa" w:w="3120"/>
          </w:tcPr>
          <w:p>
            <w:r>
              <w:t>PV of interest tax shield (25% × total debt) — core MM justification for leverage</w:t>
            </w:r>
          </w:p>
        </w:tc>
      </w:tr>
    </w:tbl>
    <w:p/>
    <w:p>
      <w:pPr>
        <w:pStyle w:val="Heading1"/>
      </w:pPr>
      <w:r>
        <w:t>3. Value Creation Plan</w:t>
      </w:r>
    </w:p>
    <w:p>
      <w:pPr>
        <w:pStyle w:val="Heading2"/>
      </w:pPr>
      <w:r>
        <w:t>Initiative 1: Supply Chain Renegotiation</w:t>
      </w:r>
    </w:p>
    <w:p>
      <w:pPr/>
      <w:r>
        <w:t>Domino's operates a centralised supply chain providing ingredients to franchisees. PE ownership enables volume-based renegotiation with key suppliers. Target: £5–8m annual cost reduction (equivalent to +40–65bps EBITDA margin improvement) by Year 2.</w:t>
      </w:r>
    </w:p>
    <w:p>
      <w:pPr>
        <w:pStyle w:val="Heading2"/>
      </w:pPr>
      <w:r>
        <w:t>Initiative 2: Digital &amp; Delivery Monetisation</w:t>
      </w:r>
    </w:p>
    <w:p>
      <w:pPr/>
      <w:r>
        <w:t>App-based ordering now represents &gt;80% of UK orders. A loyalty programme overhaul and third-party aggregator fee renegotiation (Deliveroo, Just Eat) could add 1–2% incremental revenue with near-zero marginal cost — contributing c.£7–14m additional EBITDA by Year 3.</w:t>
      </w:r>
    </w:p>
    <w:p>
      <w:pPr>
        <w:pStyle w:val="Heading2"/>
      </w:pPr>
      <w:r>
        <w:t>Initiative 3: International Franchise Expansion</w:t>
      </w:r>
    </w:p>
    <w:p>
      <w:pPr/>
      <w:r>
        <w:t>Domino's already operates in Ireland, Norway, Sweden, and Switzerland. Selective new market entry or additional franchise grants in underserved European markets could add 20–30 stores per year, each generating £80–100k royalties p.a., adding £1.6–3.0m incremental royalty income by Year 5.</w:t>
      </w:r>
    </w:p>
    <w:p>
      <w:pPr>
        <w:pStyle w:val="Heading1"/>
      </w:pPr>
      <w:r>
        <w:t>4. Exit Strategy</w:t>
      </w:r>
    </w:p>
    <w:p>
      <w:pPr/>
      <w:r>
        <w:t>Target exit in Year 5 via a dual-track process (trade sale / secondary buyout) at 9.5–10.5x forward EBITDA, consistent with franchise restaurant sector precedents. Preferred buyer universe:</w:t>
      </w:r>
    </w:p>
    <w:p>
      <w:pPr>
        <w:pStyle w:val="ListBullet"/>
      </w:pPr>
      <w:r>
        <w:t>Trade buyer: global QSR franchise platforms seeking UK market entry (e.g. Yum! Brands, Restaurant Brands International).</w:t>
      </w:r>
    </w:p>
    <w:p>
      <w:pPr>
        <w:pStyle w:val="ListBullet"/>
      </w:pPr>
      <w:r>
        <w:t>Secondary buyout: large-cap PE funds (Permira, CVC, BC Partners) with consumer franchise portfolios.</w:t>
      </w:r>
    </w:p>
    <w:p>
      <w:pPr>
        <w:pStyle w:val="ListBullet"/>
      </w:pPr>
      <w:r>
        <w:t>IPO: viable if operating metrics support premium public market valuation post-transformation.</w:t>
      </w:r>
    </w:p>
    <w:p>
      <w:pPr>
        <w:pStyle w:val="Heading1"/>
      </w:pPr>
      <w:r>
        <w:t>5. Return Analysis</w:t>
      </w:r>
    </w:p>
    <w:p>
      <w:pPr/>
      <w:r>
        <w:t>The transaction generates attractive returns across both scenarios. The base case (5.0% revenue CAGR, +30bps margin/yr, 9.5x exit) is the conservative floor. The management case (7.0% CAGR, +80bps/yr, 10.5x exit) represents achievable upside if all three value creation initiatives are executed.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Management Case</w:t>
            </w:r>
          </w:p>
        </w:tc>
      </w:tr>
      <w:tr>
        <w:tc>
          <w:tcPr>
            <w:tcW w:type="dxa" w:w="3120"/>
          </w:tcPr>
          <w:p>
            <w:r>
              <w:t>Year 5 EBITDA (£m)</w:t>
            </w:r>
          </w:p>
        </w:tc>
        <w:tc>
          <w:tcPr>
            <w:tcW w:type="dxa" w:w="3120"/>
          </w:tcPr>
          <w:p>
            <w:r>
              <w:t>£160.2m</w:t>
            </w:r>
          </w:p>
        </w:tc>
        <w:tc>
          <w:tcPr>
            <w:tcW w:type="dxa" w:w="3120"/>
          </w:tcPr>
          <w:p>
            <w:r>
              <w:t>£198.7m</w:t>
            </w:r>
          </w:p>
        </w:tc>
      </w:tr>
      <w:tr>
        <w:tc>
          <w:tcPr>
            <w:tcW w:type="dxa" w:w="3120"/>
          </w:tcPr>
          <w:p>
            <w:r>
              <w:t>Exit EV (£m)</w:t>
            </w:r>
          </w:p>
        </w:tc>
        <w:tc>
          <w:tcPr>
            <w:tcW w:type="dxa" w:w="3120"/>
          </w:tcPr>
          <w:p>
            <w:r>
              <w:t>£1,521.9m</w:t>
            </w:r>
          </w:p>
        </w:tc>
        <w:tc>
          <w:tcPr>
            <w:tcW w:type="dxa" w:w="3120"/>
          </w:tcPr>
          <w:p>
            <w:r>
              <w:t>£2,086.3m</w:t>
            </w:r>
          </w:p>
        </w:tc>
      </w:tr>
      <w:tr>
        <w:tc>
          <w:tcPr>
            <w:tcW w:type="dxa" w:w="3120"/>
          </w:tcPr>
          <w:p>
            <w:r>
              <w:t>Remaining Debt (£m)</w:t>
            </w:r>
          </w:p>
        </w:tc>
        <w:tc>
          <w:tcPr>
            <w:tcW w:type="dxa" w:w="3120"/>
          </w:tcPr>
          <w:p>
            <w:r>
              <w:t>£158.2m</w:t>
            </w:r>
          </w:p>
        </w:tc>
        <w:tc>
          <w:tcPr>
            <w:tcW w:type="dxa" w:w="3120"/>
          </w:tcPr>
          <w:p>
            <w:r>
              <w:t>£72.5m</w:t>
            </w:r>
          </w:p>
        </w:tc>
      </w:tr>
      <w:tr>
        <w:tc>
          <w:tcPr>
            <w:tcW w:type="dxa" w:w="3120"/>
          </w:tcPr>
          <w:p>
            <w:r>
              <w:t>Exit Equity (£m)</w:t>
            </w:r>
          </w:p>
        </w:tc>
        <w:tc>
          <w:tcPr>
            <w:tcW w:type="dxa" w:w="3120"/>
          </w:tcPr>
          <w:p>
            <w:r>
              <w:t>£1,363.7m</w:t>
            </w:r>
          </w:p>
        </w:tc>
        <w:tc>
          <w:tcPr>
            <w:tcW w:type="dxa" w:w="3120"/>
          </w:tcPr>
          <w:p>
            <w:r>
              <w:t>£2,013.8m</w:t>
            </w:r>
          </w:p>
        </w:tc>
      </w:tr>
      <w:tr>
        <w:tc>
          <w:tcPr>
            <w:tcW w:type="dxa" w:w="3120"/>
          </w:tcPr>
          <w:p>
            <w:r>
              <w:t>IRR  (MOIC)</w:t>
            </w:r>
          </w:p>
        </w:tc>
        <w:tc>
          <w:tcPr>
            <w:tcW w:type="dxa" w:w="3120"/>
          </w:tcPr>
          <w:p>
            <w:r>
              <w:t>18.6%  (2.35x)</w:t>
            </w:r>
          </w:p>
        </w:tc>
        <w:tc>
          <w:tcPr>
            <w:tcW w:type="dxa" w:w="3120"/>
          </w:tcPr>
          <w:p>
            <w:r>
              <w:t>28.2%  (3.46x)</w:t>
            </w:r>
          </w:p>
        </w:tc>
      </w:tr>
    </w:tbl>
    <w:p/>
    <w:p>
      <w:pPr>
        <w:pStyle w:val="Heading2"/>
      </w:pPr>
      <w:r>
        <w:t>Return Decomposition (Base Case)</w:t>
      </w:r>
    </w:p>
    <w:p>
      <w:pPr/>
      <w:r>
        <w:t>Decomposing the base case equity return into its three drivers illustrates the direct application of Modigliani-Miller leverage theory:</w:t>
      </w:r>
    </w:p>
    <w:p>
      <w:pPr>
        <w:pStyle w:val="ListBullet"/>
      </w:pPr>
      <w:r>
        <w:t>① EBITDA Growth: ~£222m — value created by growing earnings (operational performance).</w:t>
      </w:r>
    </w:p>
    <w:p>
      <w:pPr>
        <w:pStyle w:val="ListBullet"/>
      </w:pPr>
      <w:r>
        <w:t>② Multiple Expansion: ~£45m — re-rating from 9.0x to 9.5x (market re-rating).</w:t>
      </w:r>
    </w:p>
    <w:p>
      <w:pPr>
        <w:pStyle w:val="ListBullet"/>
      </w:pPr>
      <w:r>
        <w:t>③ Debt Paydown: ~£334m — financial engineering via the MM tax shield and FCF sweep (leverage effect).</w:t>
      </w:r>
    </w:p>
    <w:p>
      <w:pPr/>
      <w:r>
        <w:t>Debt paydown represents a material share of total equity value creation — directly illustrating why MM Proposition I (firm value increases with leverage, up to the optimal point) is not merely theoretical but a core PE value creation mechanism.</w:t>
      </w:r>
    </w:p>
    <w:p>
      <w:pPr>
        <w:pStyle w:val="Heading1"/>
      </w:pPr>
      <w:r>
        <w:t>6. Key Risks &amp; Mitigants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Mitigant</w:t>
            </w:r>
          </w:p>
        </w:tc>
      </w:tr>
      <w:tr>
        <w:tc>
          <w:tcPr>
            <w:tcW w:type="dxa" w:w="3120"/>
          </w:tcPr>
          <w:p>
            <w:r>
              <w:t>Consumer Spending Downturn</w:t>
            </w:r>
          </w:p>
        </w:tc>
        <w:tc>
          <w:tcPr>
            <w:tcW w:type="dxa" w:w="3120"/>
          </w:tcPr>
          <w:p>
            <w:r>
              <w:t>UK recession or cost-of-living squeeze reduces delivery order volumes.</w:t>
            </w:r>
          </w:p>
        </w:tc>
        <w:tc>
          <w:tcPr>
            <w:tcW w:type="dxa" w:w="3120"/>
          </w:tcPr>
          <w:p>
            <w:r>
              <w:t>Domino's value positioning (affordable treats, delivery convenience) has historically been recession-resilient; demand held through 2008–09 GFC.</w:t>
            </w:r>
          </w:p>
        </w:tc>
      </w:tr>
      <w:tr>
        <w:tc>
          <w:tcPr>
            <w:tcW w:type="dxa" w:w="3120"/>
          </w:tcPr>
          <w:p>
            <w:r>
              <w:t>Franchise Operator Disputes</w:t>
            </w:r>
          </w:p>
        </w:tc>
        <w:tc>
          <w:tcPr>
            <w:tcW w:type="dxa" w:w="3120"/>
          </w:tcPr>
          <w:p>
            <w:r>
              <w:t>Franchisee pushback on margin/fee structures could limit growth or cause store closures.</w:t>
            </w:r>
          </w:p>
        </w:tc>
        <w:tc>
          <w:tcPr>
            <w:tcW w:type="dxa" w:w="3120"/>
          </w:tcPr>
          <w:p>
            <w:r>
              <w:t>Maintain quarterly franchisee forum; ring-fence brand marketing fund; model downside assuming flat store count throughout hold period.</w:t>
            </w:r>
          </w:p>
        </w:tc>
      </w:tr>
      <w:tr>
        <w:tc>
          <w:tcPr>
            <w:tcW w:type="dxa" w:w="3120"/>
          </w:tcPr>
          <w:p>
            <w:r>
              <w:t>Refinancing Risk at Exit</w:t>
            </w:r>
          </w:p>
        </w:tc>
        <w:tc>
          <w:tcPr>
            <w:tcW w:type="dxa" w:w="3120"/>
          </w:tcPr>
          <w:p>
            <w:r>
              <w:t>Rising rates at exit could pressure exit EV/EBITDA multiples and buyer return hurdles.</w:t>
            </w:r>
          </w:p>
        </w:tc>
        <w:tc>
          <w:tcPr>
            <w:tcW w:type="dxa" w:w="3120"/>
          </w:tcPr>
          <w:p>
            <w:r>
              <w:t>Sensitivity table (Returns tab) shows deal remains investable at 7.5x exit. Asset-light FCF profile supports debt service even at compressed multiples.</w:t>
            </w:r>
          </w:p>
        </w:tc>
      </w:tr>
    </w:tbl>
    <w:p/>
    <w:p>
      <w:pPr/>
      <w:r>
        <w:t>Recommendation: PROCEED to full due diligence. The transaction meets our 20%+ IRR hurdle in the management case, generates an acceptable 18.6% in the base case, and has a well-defined exit universe. MM leverage is employed at a disciplined 4.25x — below the distress threshold for a stable cash flow franchise business.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