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2B4D"/>
          <w:sz w:val="48"/>
        </w:rPr>
        <w:t>AI-Ops Automation Harness — Design Decisions &amp; Thought Process</w:t>
      </w:r>
    </w:p>
    <w:p>
      <w:pPr>
        <w:pBdr>
          <w:bottom w:val="single" w:sz="10" w:space="1" w:color="2684FF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0"/>
      </w:tblGrid>
      <w:tr>
        <w:tc>
          <w:tcPr>
            <w:tcW w:type="dxa" w:w="9940"/>
            <w:shd w:val="clear" w:fill="DEEBFF"/>
            <w:tcBorders>
              <w:left w:val="single" w:sz="24" w:space="0" w:color="2684FF"/>
            </w:tcBorders>
            <w:tcBorders>
              <w:top w:val="single" w:sz="4" w:space="0" w:color="DEEBFF"/>
              <w:bottom w:val="single" w:sz="4" w:space="0" w:color="DEEBFF"/>
              <w:right w:val="single" w:sz="4" w:space="0" w:color="DEEBFF"/>
            </w:tcBorders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72B4D"/>
                <w:sz w:val="20"/>
              </w:rPr>
              <w:t>On this page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1. The idea and the problem it solves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2. Constraints the sponsor set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3. How the reference automations were studied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4. The decisions (with rationale)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5. Decisions we reversed — and why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6. What got built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7. The documentation subsystem — one source, three views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8. Positioning: where the value actually is</w:t>
            </w:r>
          </w:p>
          <w:p>
            <w:pPr>
              <w:spacing w:after="40" w:before="40"/>
            </w:pPr>
            <w:r>
              <w:rPr>
                <w:b w:val="0"/>
                <w:i w:val="0"/>
                <w:color w:val="172B4D"/>
                <w:sz w:val="20"/>
              </w:rPr>
              <w:t>•  9. What is proven vs. deferred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626F86"/>
          <w:sz w:val="21"/>
        </w:rPr>
        <w:t xml:space="preserve">A design journal: how this repo came to be, the constraints that shaped it, the decisions made (including the ones reversed), and why. Read `AUTHORING.md` for </w:t>
      </w:r>
      <w:r>
        <w:rPr>
          <w:b w:val="0"/>
          <w:i/>
          <w:color w:val="626F86"/>
          <w:sz w:val="21"/>
        </w:rPr>
        <w:t>how</w:t>
      </w:r>
      <w:r>
        <w:rPr>
          <w:b w:val="0"/>
          <w:i/>
          <w:color w:val="626F86"/>
          <w:sz w:val="21"/>
        </w:rPr>
        <w:t xml:space="preserve"> to build an automation; read this for </w:t>
      </w:r>
      <w:r>
        <w:rPr>
          <w:b w:val="0"/>
          <w:i/>
          <w:color w:val="626F86"/>
          <w:sz w:val="21"/>
        </w:rPr>
        <w:t>why</w:t>
      </w:r>
      <w:r>
        <w:rPr>
          <w:b w:val="0"/>
          <w:i/>
          <w:color w:val="626F86"/>
          <w:sz w:val="21"/>
        </w:rPr>
        <w:t xml:space="preserve"> the harness is shaped the way it is.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1. The idea and the problem it solves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The team had delivered ~20 finance/back-office automations. Each new one still started from a blank folder — re-deciding the same layout, re-wiring the same audit trail, re-solving the same portal-login and Excel problems, re-writing the same kind of README. That setup work is repeated, undifferentiated effort.</w:t>
      </w:r>
    </w:p>
    <w:p>
      <w:pPr>
        <w:spacing w:after="120"/>
      </w:pPr>
      <w:r>
        <w:rPr>
          <w:b/>
          <w:i w:val="0"/>
          <w:color w:val="172B4D"/>
          <w:sz w:val="21"/>
        </w:rPr>
        <w:t>The idea:</w:t>
      </w:r>
      <w:r>
        <w:rPr>
          <w:b w:val="0"/>
          <w:i w:val="0"/>
          <w:color w:val="172B4D"/>
          <w:sz w:val="21"/>
        </w:rPr>
        <w:t xml:space="preserve"> a vetted, copy-me </w:t>
      </w:r>
      <w:r>
        <w:rPr>
          <w:b/>
          <w:i w:val="0"/>
          <w:color w:val="172B4D"/>
          <w:sz w:val="21"/>
        </w:rPr>
        <w:t>starting point</w:t>
      </w:r>
      <w:r>
        <w:rPr>
          <w:b w:val="0"/>
          <w:i w:val="0"/>
          <w:color w:val="172B4D"/>
          <w:sz w:val="21"/>
        </w:rPr>
        <w:t xml:space="preserve"> — an </w:t>
      </w:r>
      <w:r>
        <w:rPr>
          <w:b w:val="0"/>
          <w:i/>
          <w:color w:val="626F86"/>
          <w:sz w:val="21"/>
        </w:rPr>
        <w:t>asset</w:t>
      </w:r>
      <w:r>
        <w:rPr>
          <w:b w:val="0"/>
          <w:i w:val="0"/>
          <w:color w:val="172B4D"/>
          <w:sz w:val="21"/>
        </w:rPr>
        <w:t xml:space="preserve"> — that any team standing up such an initiative can copy </w:t>
      </w:r>
      <w:r>
        <w:rPr>
          <w:b w:val="0"/>
          <w:i/>
          <w:color w:val="626F86"/>
          <w:sz w:val="21"/>
        </w:rPr>
        <w:t>before</w:t>
      </w:r>
      <w:r>
        <w:rPr>
          <w:b w:val="0"/>
          <w:i w:val="0"/>
          <w:color w:val="172B4D"/>
          <w:sz w:val="21"/>
        </w:rPr>
        <w:t xml:space="preserve"> they build. Not a framework to depend on; a skeleton to fork. It carries the directory structure, the audit logic, a Playwright recorder, tests, a skeletal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CLAUDE.md</w:t>
      </w:r>
      <w:r>
        <w:rPr>
          <w:b w:val="0"/>
          <w:i w:val="0"/>
          <w:color w:val="172B4D"/>
          <w:sz w:val="21"/>
        </w:rPr>
        <w:t>, and the house-style skills already in place.</w:t>
      </w:r>
    </w:p>
    <w:p>
      <w:pPr>
        <w:spacing w:after="120"/>
      </w:pPr>
      <w:r>
        <w:rPr>
          <w:b/>
          <w:i w:val="0"/>
          <w:color w:val="172B4D"/>
          <w:sz w:val="21"/>
        </w:rPr>
        <w:t>The value it targets:</w:t>
      </w:r>
      <w:r>
        <w:rPr>
          <w:b w:val="0"/>
          <w:i w:val="0"/>
          <w:color w:val="172B4D"/>
          <w:sz w:val="21"/>
        </w:rPr>
        <w:t xml:space="preserve"> roughly </w:t>
      </w:r>
      <w:r>
        <w:rPr>
          <w:b/>
          <w:i w:val="0"/>
          <w:color w:val="172B4D"/>
          <w:sz w:val="21"/>
        </w:rPr>
        <w:t>35% of the build team's effort per use case</w:t>
      </w:r>
      <w:r>
        <w:rPr>
          <w:b w:val="0"/>
          <w:i w:val="0"/>
          <w:color w:val="172B4D"/>
          <w:sz w:val="21"/>
        </w:rPr>
        <w:t>. A precise distinction that shaped the whole framing: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>*</w:t>
      </w:r>
      <w:r>
        <w:rPr>
          <w:b w:val="0"/>
          <w:i/>
          <w:color w:val="626F86"/>
          <w:sz w:val="21"/>
        </w:rPr>
        <w:t xml:space="preserve">~35% is the </w:t>
      </w:r>
      <w:r>
        <w:rPr>
          <w:b w:val="0"/>
          <w:i w:val="0"/>
          <w:color w:val="172B4D"/>
          <w:sz w:val="21"/>
        </w:rPr>
        <w:t>build team's</w:t>
      </w:r>
      <w:r>
        <w:rPr>
          <w:b w:val="0"/>
          <w:i/>
          <w:color w:val="626F86"/>
          <w:sz w:val="21"/>
        </w:rPr>
        <w:t xml:space="preserve"> saving</w:t>
      </w:r>
      <w:r>
        <w:rPr>
          <w:b w:val="0"/>
          <w:i/>
          <w:color w:val="626F86"/>
          <w:sz w:val="21"/>
        </w:rPr>
        <w:t xml:space="preserve"> (the ~10-developer SWAT team). It is </w:t>
      </w:r>
      <w:r>
        <w:rPr>
          <w:b w:val="0"/>
          <w:i/>
          <w:color w:val="626F86"/>
          <w:sz w:val="21"/>
        </w:rPr>
        <w:t>not</w:t>
      </w:r>
      <w:r>
        <w:rPr>
          <w:b w:val="0"/>
          <w:i w:val="0"/>
          <w:color w:val="172B4D"/>
          <w:sz w:val="21"/>
        </w:rPr>
        <w:t>* an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FTE or cost saving.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>*</w:t>
      </w:r>
      <w:r>
        <w:rPr>
          <w:b w:val="0"/>
          <w:i/>
          <w:color w:val="626F86"/>
          <w:sz w:val="21"/>
        </w:rPr>
        <w:t xml:space="preserve">FTE realisation is the </w:t>
      </w:r>
      <w:r>
        <w:rPr>
          <w:b w:val="0"/>
          <w:i w:val="0"/>
          <w:color w:val="172B4D"/>
          <w:sz w:val="21"/>
        </w:rPr>
        <w:t>operator-side</w:t>
      </w:r>
      <w:r>
        <w:rPr>
          <w:b w:val="0"/>
          <w:i/>
          <w:color w:val="626F86"/>
          <w:sz w:val="21"/>
        </w:rPr>
        <w:t xml:space="preserve"> outcome</w:t>
      </w:r>
      <w:r>
        <w:rPr>
          <w:b w:val="0"/>
          <w:i w:val="0"/>
          <w:color w:val="172B4D"/>
          <w:sz w:val="21"/>
        </w:rPr>
        <w:t>* — the 300–500-person operator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network runs the shipped tools; that is where headcount is realised. The harness accelerates </w:t>
      </w:r>
      <w:r>
        <w:rPr>
          <w:b w:val="0"/>
          <w:i/>
          <w:color w:val="626F86"/>
          <w:sz w:val="21"/>
        </w:rPr>
        <w:t>how fast</w:t>
      </w:r>
      <w:r>
        <w:rPr>
          <w:b w:val="0"/>
          <w:i w:val="0"/>
          <w:color w:val="172B4D"/>
          <w:sz w:val="21"/>
        </w:rPr>
        <w:t xml:space="preserve"> those tools ship, which pulls FTE realisation forward.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Keeping those two numbers from being conflated is why the solution document leads with "faster FTE realisation" as a qualitative outcome rather than a cost figure.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0"/>
      </w:tblGrid>
      <w:tr>
        <w:tc>
          <w:tcPr>
            <w:tcW w:type="dxa" w:w="9940"/>
            <w:shd w:val="clear" w:fill="E3FCEF"/>
            <w:tcBorders>
              <w:left w:val="single" w:sz="24" w:space="0" w:color="36B37E"/>
            </w:tcBorders>
            <w:tcBorders>
              <w:top w:val="single" w:sz="4" w:space="0" w:color="E3FCEF"/>
              <w:bottom w:val="single" w:sz="4" w:space="0" w:color="E3FCEF"/>
              <w:right w:val="single" w:sz="4" w:space="0" w:color="E3FCEF"/>
            </w:tcBorders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72B4D"/>
                <w:sz w:val="20"/>
              </w:rPr>
              <w:t>Not a prototype.</w:t>
            </w:r>
            <w:r>
              <w:rPr>
                <w:b w:val="0"/>
                <w:i w:val="0"/>
                <w:color w:val="172B4D"/>
                <w:sz w:val="20"/>
              </w:rPr>
              <w:t xml:space="preserve"> The harness was </w:t>
            </w:r>
            <w:r>
              <w:rPr>
                <w:b/>
                <w:i w:val="0"/>
                <w:color w:val="172B4D"/>
                <w:sz w:val="20"/>
              </w:rPr>
              <w:t>reverse-engineered from what already works</w:t>
            </w:r>
            <w:r>
              <w:rPr>
                <w:b w:val="0"/>
                <w:i w:val="0"/>
                <w:color w:val="172B4D"/>
                <w:sz w:val="20"/>
              </w:rPr>
              <w:t xml:space="preserve"> in ~20 delivered use cases. Its credibility is that it distils proven production tools, not that it proposes a clever new architecture.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2. Constraints the sponsor set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These were given up front and are load-bearing — most of the design follows from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3"/>
        <w:gridCol w:w="3313"/>
        <w:gridCol w:w="3313"/>
      </w:tblGrid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  <w:shd w:val="clear" w:fill="F4F5F7"/>
          </w:tcPr>
          <w:p>
            <w:pPr>
              <w:spacing w:after="20" w:before="20"/>
            </w:pPr>
            <w:r/>
            <w:r>
              <w:rPr>
                <w:b/>
                <w:color w:val="172B4D"/>
                <w:sz w:val="19"/>
              </w:rPr>
              <w:t>Constraint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  <w:shd w:val="clear" w:fill="F4F5F7"/>
          </w:tcPr>
          <w:p>
            <w:pPr>
              <w:spacing w:after="20" w:before="20"/>
            </w:pPr>
            <w:r/>
            <w:r>
              <w:rPr>
                <w:b/>
                <w:color w:val="172B4D"/>
                <w:sz w:val="19"/>
              </w:rPr>
              <w:t>What it means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  <w:shd w:val="clear" w:fill="F4F5F7"/>
          </w:tcPr>
          <w:p>
            <w:pPr>
              <w:spacing w:after="20" w:before="20"/>
            </w:pPr>
            <w:r/>
            <w:r>
              <w:rPr>
                <w:b/>
                <w:color w:val="172B4D"/>
                <w:sz w:val="19"/>
              </w:rPr>
              <w:t>Consequence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Discovery is already complete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The harness is </w:t>
            </w:r>
            <w:r>
              <w:rPr>
                <w:b w:val="0"/>
                <w:i/>
                <w:color w:val="626F86"/>
                <w:sz w:val="19"/>
              </w:rPr>
              <w:t>purely</w:t>
            </w:r>
            <w:r>
              <w:rPr>
                <w:b w:val="0"/>
                <w:i w:val="0"/>
                <w:color w:val="172B4D"/>
                <w:sz w:val="19"/>
              </w:rPr>
              <w:t xml:space="preserve"> the build-phase starter. No discovery tooling, no discovery skills, don't design for that phase at all.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The automation is </w:t>
            </w:r>
            <w:r>
              <w:rPr>
                <w:b/>
                <w:i w:val="0"/>
                <w:color w:val="172B4D"/>
                <w:sz w:val="19"/>
              </w:rPr>
              <w:t>wired explicitly</w:t>
            </w:r>
            <w:r>
              <w:rPr>
                <w:b w:val="0"/>
                <w:i w:val="0"/>
                <w:color w:val="172B4D"/>
                <w:sz w:val="19"/>
              </w:rPr>
              <w:t>; there is no requirements/discovery layer.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Don't trust `common/`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The shared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common/</w:t>
            </w:r>
            <w:r>
              <w:rPr>
                <w:b w:val="0"/>
                <w:i w:val="0"/>
                <w:color w:val="172B4D"/>
                <w:sz w:val="19"/>
              </w:rPr>
              <w:t xml:space="preserve"> folder was built by another developer before there was a real project. Challenge every piece; keep only what the trusted automations actually use; full removal is acceptable.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common/</w:t>
            </w:r>
            <w:r>
              <w:rPr>
                <w:b w:val="0"/>
                <w:i w:val="0"/>
                <w:color w:val="172B4D"/>
                <w:sz w:val="19"/>
              </w:rPr>
              <w:t xml:space="preserve"> was </w:t>
            </w:r>
            <w:r>
              <w:rPr>
                <w:b/>
                <w:i w:val="0"/>
                <w:color w:val="172B4D"/>
                <w:sz w:val="19"/>
              </w:rPr>
              <w:t>not</w:t>
            </w:r>
            <w:r>
              <w:rPr>
                <w:b w:val="0"/>
                <w:i w:val="0"/>
                <w:color w:val="172B4D"/>
                <w:sz w:val="19"/>
              </w:rPr>
              <w:t xml:space="preserve"> vendored wholesale — it was curated into a slimmer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core/</w:t>
            </w:r>
            <w:r>
              <w:rPr>
                <w:b w:val="0"/>
                <w:i w:val="0"/>
                <w:color w:val="172B4D"/>
                <w:sz w:val="19"/>
              </w:rPr>
              <w:t>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Only explicitly-shared refs are "trusted"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Imitate only the reference repos the sponsor named; ignore the rest of the monorepo's demo/experimental projects.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The study (§3) was scoped to four repos, not the whole codebase.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Tests always live in the automation's own repo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The main-branch pattern of central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common_automation/tests/&lt;name&gt;/</w:t>
            </w:r>
            <w:r>
              <w:rPr>
                <w:b w:val="0"/>
                <w:i w:val="0"/>
                <w:color w:val="172B4D"/>
                <w:sz w:val="19"/>
              </w:rPr>
              <w:t xml:space="preserve"> is explicitly rejected.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Every scaffold ships an in-repo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tests/</w:t>
            </w:r>
            <w:r>
              <w:rPr>
                <w:b w:val="0"/>
                <w:i w:val="0"/>
                <w:color w:val="172B4D"/>
                <w:sz w:val="19"/>
              </w:rPr>
              <w:t>; everything is self-contained per repo.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No GUI by default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The majority of shipped tools are headless; a Tkinter GUI is per-project, not baseline.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The spine is a headless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run()</w:t>
            </w:r>
            <w:r>
              <w:rPr>
                <w:b w:val="0"/>
                <w:i w:val="0"/>
                <w:color w:val="172B4D"/>
                <w:sz w:val="19"/>
              </w:rPr>
              <w:t xml:space="preserve"> + CLI.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"Agentic" means build-time only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Shipped solutions are deterministic Python (Playwright + Excel). </w:t>
            </w:r>
            <w:r>
              <w:rPr>
                <w:b/>
                <w:i w:val="0"/>
                <w:color w:val="172B4D"/>
                <w:sz w:val="19"/>
              </w:rPr>
              <w:t>No runtime LLM / Anthropic API on the operator machine.</w:t>
            </w:r>
            <w:r>
              <w:rPr>
                <w:b w:val="0"/>
                <w:i w:val="0"/>
                <w:color w:val="172B4D"/>
                <w:sz w:val="19"/>
              </w:rPr>
              <w:t xml:space="preserve"> "Agentic" = built </w:t>
            </w:r>
            <w:r>
              <w:rPr>
                <w:b w:val="0"/>
                <w:i/>
                <w:color w:val="626F86"/>
                <w:sz w:val="19"/>
              </w:rPr>
              <w:t>with</w:t>
            </w:r>
            <w:r>
              <w:rPr>
                <w:b w:val="0"/>
                <w:i w:val="0"/>
                <w:color w:val="172B4D"/>
                <w:sz w:val="19"/>
              </w:rPr>
              <w:t xml:space="preserve"> Claude Code.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No runtime-LLM layer, no API-key handling, no llm-integration skill.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Observability is mandatory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The human-vs-automation split is a compliance requirement (four-eyes sign-off), not a nice-to-have.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Audit is always-on and uniform; there is no un-audited path.</w:t>
            </w:r>
          </w:p>
        </w:tc>
      </w:tr>
      <w:tr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72B4D"/>
                <w:sz w:val="19"/>
              </w:rPr>
              <w:t>Per-repo, self-contained, laptop-runnable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Each deliverable is copied and shipped to operator machines via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uv run</w:t>
            </w:r>
            <w:r>
              <w:rPr>
                <w:b w:val="0"/>
                <w:i w:val="0"/>
                <w:color w:val="172B4D"/>
                <w:sz w:val="19"/>
              </w:rPr>
              <w:t>, isolated per client.</w:t>
            </w:r>
          </w:p>
        </w:tc>
        <w:tc>
          <w:tcPr>
            <w:tcW w:type="dxa" w:w="3313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Vendored core (not a shared package); safe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.gitignore</w:t>
            </w:r>
            <w:r>
              <w:rPr>
                <w:b w:val="0"/>
                <w:i w:val="0"/>
                <w:color w:val="172B4D"/>
                <w:sz w:val="19"/>
              </w:rPr>
              <w:t xml:space="preserve"> as a control.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3. How the reference automations were studied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Four trusted reference repos were read in depth (via parallel exploration agents) before any design was locked: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wsa-reconsmart-connector</w:t>
      </w:r>
      <w:r>
        <w:rPr>
          <w:b w:val="0"/>
          <w:i w:val="0"/>
          <w:color w:val="172B4D"/>
          <w:sz w:val="21"/>
        </w:rPr>
        <w:t xml:space="preserve"> — flat scripts, raw Playwright, no engine.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ar_aging_compiler</w:t>
      </w:r>
      <w:r>
        <w:rPr>
          <w:b w:val="0"/>
          <w:i w:val="0"/>
          <w:color w:val="172B4D"/>
          <w:sz w:val="21"/>
        </w:rPr>
        <w:t xml:space="preserve"> — self-contained pure-Python Excel, no browser.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duplicate_payment_detector</w:t>
      </w:r>
      <w:r>
        <w:rPr>
          <w:b w:val="0"/>
          <w:i w:val="0"/>
          <w:color w:val="172B4D"/>
          <w:sz w:val="21"/>
        </w:rPr>
        <w:t xml:space="preserve"> — standalone Playwright + pandas analysis, no engine.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trade_payables_recon</w:t>
      </w:r>
      <w:r>
        <w:rPr>
          <w:b w:val="0"/>
          <w:i w:val="0"/>
          <w:color w:val="172B4D"/>
          <w:sz w:val="21"/>
        </w:rPr>
        <w:t xml:space="preserve"> (incl.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ap_aging</w:t>
      </w:r>
      <w:r>
        <w:rPr>
          <w:b w:val="0"/>
          <w:i w:val="0"/>
          <w:color w:val="172B4D"/>
          <w:sz w:val="21"/>
        </w:rPr>
        <w:t>) — full Stage/Step engine with resume + HITL.</w:t>
      </w:r>
    </w:p>
    <w:p>
      <w:pPr>
        <w:spacing w:after="120"/>
      </w:pPr>
      <w:r>
        <w:rPr>
          <w:b/>
          <w:i w:val="0"/>
          <w:color w:val="172B4D"/>
          <w:sz w:val="21"/>
        </w:rPr>
        <w:t>The finding that drove the architecture:</w:t>
      </w:r>
      <w:r>
        <w:rPr>
          <w:b w:val="0"/>
          <w:i w:val="0"/>
          <w:color w:val="172B4D"/>
          <w:sz w:val="21"/>
        </w:rPr>
        <w:t xml:space="preserve"> these span a wide complexity range, and only </w:t>
      </w:r>
      <w:r>
        <w:rPr>
          <w:b w:val="0"/>
          <w:i/>
          <w:color w:val="626F86"/>
          <w:sz w:val="21"/>
        </w:rPr>
        <w:t>one</w:t>
      </w:r>
      <w:r>
        <w:rPr>
          <w:b w:val="0"/>
          <w:i w:val="0"/>
          <w:color w:val="172B4D"/>
          <w:sz w:val="21"/>
        </w:rPr>
        <w:t xml:space="preserve"> of the four uses the orchestration engine. A single rigid template can't serve both a 200-line Excel compiler and a multi-stage portal workflow with review gates. So the harness had to be </w:t>
      </w:r>
      <w:r>
        <w:rPr>
          <w:b/>
          <w:i w:val="0"/>
          <w:color w:val="172B4D"/>
          <w:sz w:val="21"/>
        </w:rPr>
        <w:t>layered</w:t>
      </w:r>
      <w:r>
        <w:rPr>
          <w:b w:val="0"/>
          <w:i w:val="0"/>
          <w:color w:val="172B4D"/>
          <w:sz w:val="21"/>
        </w:rPr>
        <w:t xml:space="preserve"> — a small always-present spine, with heavier capabilities opt-in.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Other findings that became design inputs: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 xml:space="preserve">The </w:t>
      </w:r>
      <w:r>
        <w:rPr>
          <w:b/>
          <w:i w:val="0"/>
          <w:color w:val="172B4D"/>
          <w:sz w:val="21"/>
        </w:rPr>
        <w:t>recorder</w:t>
      </w:r>
      <w:r>
        <w:rPr>
          <w:b w:val="0"/>
          <w:i w:val="0"/>
          <w:color w:val="172B4D"/>
          <w:sz w:val="21"/>
        </w:rPr>
        <w:t xml:space="preserve"> had zero coupling to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common/</w:t>
      </w:r>
      <w:r>
        <w:rPr>
          <w:b w:val="0"/>
          <w:i w:val="0"/>
          <w:color w:val="172B4D"/>
          <w:sz w:val="21"/>
        </w:rPr>
        <w:t xml:space="preserve"> → it lifts out cleanly as a standalone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capability (only a Microsoft-specific API-path regex needed to become config-driven).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common/excel/</w:t>
      </w:r>
      <w:r>
        <w:rPr>
          <w:b w:val="0"/>
          <w:i w:val="0"/>
          <w:color w:val="172B4D"/>
          <w:sz w:val="21"/>
        </w:rPr>
        <w:t xml:space="preserve"> was pure-Python, zero COM → already cross-platform; </w:t>
      </w:r>
      <w:r>
        <w:rPr>
          <w:b/>
          <w:i w:val="0"/>
          <w:color w:val="172B4D"/>
          <w:sz w:val="21"/>
        </w:rPr>
        <w:t>keep</w:t>
      </w:r>
      <w:r>
        <w:rPr>
          <w:b w:val="0"/>
          <w:i w:val="0"/>
          <w:color w:val="172B4D"/>
          <w:sz w:val="21"/>
        </w:rPr>
        <w:t>.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common/secretstore/</w:t>
      </w:r>
      <w:r>
        <w:rPr>
          <w:b w:val="0"/>
          <w:i w:val="0"/>
          <w:color w:val="172B4D"/>
          <w:sz w:val="21"/>
        </w:rPr>
        <w:t xml:space="preserve"> was </w:t>
      </w:r>
      <w:r>
        <w:rPr>
          <w:b/>
          <w:i w:val="0"/>
          <w:color w:val="172B4D"/>
          <w:sz w:val="21"/>
        </w:rPr>
        <w:t>Windows-only</w:t>
      </w:r>
      <w:r>
        <w:rPr>
          <w:b w:val="0"/>
          <w:i w:val="0"/>
          <w:color w:val="172B4D"/>
          <w:sz w:val="21"/>
        </w:rPr>
        <w:t xml:space="preserve"> (hard-coded Credential Manager) → this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violated the cross-platform requirement and had to be fixed with a macOS Keychain backend.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common/portals/</w:t>
      </w:r>
      <w:r>
        <w:rPr>
          <w:b w:val="0"/>
          <w:i w:val="0"/>
          <w:color w:val="172B4D"/>
          <w:sz w:val="21"/>
        </w:rPr>
        <w:t xml:space="preserve"> was a decent generic base but imported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RunContext</w:t>
      </w:r>
      <w:r>
        <w:rPr>
          <w:b w:val="0"/>
          <w:i w:val="0"/>
          <w:color w:val="172B4D"/>
          <w:sz w:val="21"/>
        </w:rPr>
        <w:t xml:space="preserve"> from the engine →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had to be </w:t>
      </w:r>
      <w:r>
        <w:rPr>
          <w:b/>
          <w:i w:val="0"/>
          <w:color w:val="172B4D"/>
          <w:sz w:val="21"/>
        </w:rPr>
        <w:t>decoupled</w:t>
      </w:r>
      <w:r>
        <w:rPr>
          <w:b w:val="0"/>
          <w:i w:val="0"/>
          <w:color w:val="172B4D"/>
          <w:sz w:val="21"/>
        </w:rPr>
        <w:t xml:space="preserve"> so a simple automation can log in without pulling in the engine.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 xml:space="preserve">Two audit systems coexisted: the engine's structured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runs/&lt;run_id&gt;/</w:t>
      </w:r>
      <w:r>
        <w:rPr>
          <w:b w:val="0"/>
          <w:i w:val="0"/>
          <w:color w:val="172B4D"/>
          <w:sz w:val="21"/>
        </w:rPr>
        <w:t xml:space="preserve"> store (only when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the engine is used) and a per-automation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audit_logs/&lt;timestamp&gt;/</w:t>
      </w:r>
      <w:r>
        <w:rPr>
          <w:b w:val="0"/>
          <w:i w:val="0"/>
          <w:color w:val="172B4D"/>
          <w:sz w:val="21"/>
        </w:rPr>
        <w:t xml:space="preserve"> OTel-to-file trail (the </w:t>
      </w:r>
      <w:r>
        <w:rPr>
          <w:b/>
          <w:i w:val="0"/>
          <w:color w:val="172B4D"/>
          <w:sz w:val="21"/>
        </w:rPr>
        <w:t>common baseline</w:t>
      </w:r>
      <w:r>
        <w:rPr>
          <w:b w:val="0"/>
          <w:i w:val="0"/>
          <w:color w:val="172B4D"/>
          <w:sz w:val="21"/>
        </w:rPr>
        <w:t xml:space="preserve"> all three non-engine refs used). The baseline became the mandatory floor; the runstore became an engine-only addition.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 xml:space="preserve">A second scan of </w:t>
      </w:r>
      <w:r>
        <w:rPr>
          <w:b w:val="0"/>
          <w:i/>
          <w:color w:val="626F86"/>
          <w:sz w:val="21"/>
        </w:rPr>
        <w:t>other</w:t>
      </w:r>
      <w:r>
        <w:rPr>
          <w:b w:val="0"/>
          <w:i w:val="0"/>
          <w:color w:val="172B4D"/>
          <w:sz w:val="21"/>
        </w:rPr>
        <w:t xml:space="preserve"> developers' projects confirmed two populations — engine-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integrated tools vs. standalone GUI tools — and surfaced concrete anti-patterns to encode as guardrails (no hard-coded date constants, resolve ERP columns by header not index, never mutate input folders, no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from x import *</w:t>
      </w:r>
      <w:r>
        <w:rPr>
          <w:b w:val="0"/>
          <w:i w:val="0"/>
          <w:color w:val="172B4D"/>
          <w:sz w:val="21"/>
        </w:rPr>
        <w:t>, rules workbook over Python constants, and so on).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4. The decisions (with rationale)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Each of these is stated as </w:t>
      </w:r>
      <w:r>
        <w:rPr>
          <w:b/>
          <w:i w:val="0"/>
          <w:color w:val="172B4D"/>
          <w:sz w:val="21"/>
        </w:rPr>
        <w:t>context → decision → why → consequence</w:t>
      </w:r>
      <w:r>
        <w:rPr>
          <w:b w:val="0"/>
          <w:i w:val="0"/>
          <w:color w:val="172B4D"/>
          <w:sz w:val="21"/>
        </w:rPr>
        <w:t>.</w:t>
      </w:r>
    </w:p>
    <w:p>
      <w:pPr>
        <w:spacing w:before="160" w:after="80"/>
      </w:pPr>
      <w:r>
        <w:rPr>
          <w:b/>
          <w:color w:val="172B4D"/>
          <w:sz w:val="25"/>
        </w:rPr>
        <w:t>4.1 Packaging — per-repo template, vendored core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Reusable machinery could be a shared installable package (one Enterprise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account, technically feasible) or vendored into each repo.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b/>
          <w:i w:val="0"/>
          <w:color w:val="172B4D"/>
          <w:sz w:val="21"/>
        </w:rPr>
        <w:t>Per-repo template</w:t>
      </w:r>
      <w:r>
        <w:rPr>
          <w:b w:val="0"/>
          <w:i w:val="0"/>
          <w:color w:val="172B4D"/>
          <w:sz w:val="21"/>
        </w:rPr>
        <w:t>: the harness is a standalone repo copied to start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each automation; the reusable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core/</w:t>
      </w:r>
      <w:r>
        <w:rPr>
          <w:b w:val="0"/>
          <w:i w:val="0"/>
          <w:color w:val="172B4D"/>
          <w:sz w:val="21"/>
        </w:rPr>
        <w:t xml:space="preserve"> is </w:t>
      </w:r>
      <w:r>
        <w:rPr>
          <w:b/>
          <w:i w:val="0"/>
          <w:color w:val="172B4D"/>
          <w:sz w:val="21"/>
        </w:rPr>
        <w:t>vendored in</w:t>
      </w:r>
      <w:r>
        <w:rPr>
          <w:b w:val="0"/>
          <w:i w:val="0"/>
          <w:color w:val="172B4D"/>
          <w:sz w:val="21"/>
        </w:rPr>
        <w:t>, not imported from a shared package.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Deliverables must be self-contained, client-isolated, and runnable on an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operator laptop with nothing but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uv</w:t>
      </w:r>
      <w:r>
        <w:rPr>
          <w:b w:val="0"/>
          <w:i w:val="0"/>
          <w:color w:val="172B4D"/>
          <w:sz w:val="21"/>
        </w:rPr>
        <w:t>. A shared package couples every deliverable's lifecycle to a central release; vendoring keeps each repo independently shippable and auditable.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The known cost is </w:t>
      </w:r>
      <w:r>
        <w:rPr>
          <w:b/>
          <w:i w:val="0"/>
          <w:color w:val="172B4D"/>
          <w:sz w:val="21"/>
        </w:rPr>
        <w:t>drift</w:t>
      </w:r>
      <w:r>
        <w:rPr>
          <w:b w:val="0"/>
          <w:i w:val="0"/>
          <w:color w:val="172B4D"/>
          <w:sz w:val="21"/>
        </w:rPr>
        <w:t xml:space="preserve"> — a core fix doesn't automatically reach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already-created repos. That is what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copier update</w:t>
      </w:r>
      <w:r>
        <w:rPr>
          <w:b w:val="0"/>
          <w:i w:val="0"/>
          <w:color w:val="172B4D"/>
          <w:sz w:val="21"/>
        </w:rPr>
        <w:t xml:space="preserve"> is meant to solve later (§5, §9); today a plain copy is accepted.</w:t>
      </w:r>
    </w:p>
    <w:p>
      <w:pPr>
        <w:spacing w:before="160" w:after="80"/>
      </w:pPr>
      <w:r>
        <w:rPr>
          <w:b/>
          <w:color w:val="172B4D"/>
          <w:sz w:val="25"/>
        </w:rPr>
        <w:t>4.2 One spine, engine opt-in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The complexity range (§3) tempted a two-scaffold design: a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simple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scaffold and an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orchestrated</w:t>
      </w:r>
      <w:r>
        <w:rPr>
          <w:b w:val="0"/>
          <w:i w:val="0"/>
          <w:color w:val="172B4D"/>
          <w:sz w:val="21"/>
        </w:rPr>
        <w:t xml:space="preserve"> scaffold, chosen at spin-up.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b/>
          <w:i w:val="0"/>
          <w:color w:val="172B4D"/>
          <w:sz w:val="21"/>
        </w:rPr>
        <w:t>One spine.</w:t>
      </w:r>
      <w:r>
        <w:rPr>
          <w:b w:val="0"/>
          <w:i w:val="0"/>
          <w:color w:val="172B4D"/>
          <w:sz w:val="21"/>
        </w:rPr>
        <w:t xml:space="preserve"> A single structure defaults to a headless</w:t>
      </w:r>
    </w:p>
    <w:p>
      <w:pPr>
        <w:spacing w:after="1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run(inputs, outputs)</w:t>
      </w:r>
      <w:r>
        <w:rPr>
          <w:b w:val="0"/>
          <w:i w:val="0"/>
          <w:color w:val="172B4D"/>
          <w:sz w:val="21"/>
        </w:rPr>
        <w:t xml:space="preserve"> +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uv run</w:t>
      </w:r>
      <w:r>
        <w:rPr>
          <w:b w:val="0"/>
          <w:i w:val="0"/>
          <w:color w:val="172B4D"/>
          <w:sz w:val="21"/>
        </w:rPr>
        <w:t xml:space="preserve"> CLI; the Stage/Step </w:t>
      </w:r>
      <w:r>
        <w:rPr>
          <w:b/>
          <w:i w:val="0"/>
          <w:color w:val="172B4D"/>
          <w:sz w:val="21"/>
        </w:rPr>
        <w:t>engine</w:t>
      </w:r>
      <w:r>
        <w:rPr>
          <w:b w:val="0"/>
          <w:i w:val="0"/>
          <w:color w:val="172B4D"/>
          <w:sz w:val="21"/>
        </w:rPr>
        <w:t xml:space="preserve"> (resume, HITL, the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runs/</w:t>
      </w:r>
      <w:r>
        <w:rPr>
          <w:b w:val="0"/>
          <w:i w:val="0"/>
          <w:color w:val="172B4D"/>
          <w:sz w:val="21"/>
        </w:rPr>
        <w:t xml:space="preserve"> store) is switched </w:t>
      </w:r>
      <w:r>
        <w:rPr>
          <w:b/>
          <w:i w:val="0"/>
          <w:color w:val="172B4D"/>
          <w:sz w:val="21"/>
        </w:rPr>
        <w:t>on only when needed</w:t>
      </w:r>
      <w:r>
        <w:rPr>
          <w:b w:val="0"/>
          <w:i w:val="0"/>
          <w:color w:val="172B4D"/>
          <w:sz w:val="21"/>
        </w:rPr>
        <w:t xml:space="preserve"> — like a capability layer, not a separate scaffold.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Two scaffolds means two things to teach, test, and maintain, and a fork in the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authoring path from day one. One spine that degrades gracefully to single-stage/no-HITL serves the simple case without a second framework.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The engine is genuinely optional; a simple compiler ships none of it.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The orchestrated case wires </w:t>
      </w:r>
      <w:r>
        <w:rPr>
          <w:b/>
          <w:i w:val="0"/>
          <w:color w:val="172B4D"/>
          <w:sz w:val="21"/>
        </w:rPr>
        <w:t>one</w:t>
      </w:r>
      <w:r>
        <w:rPr>
          <w:b w:val="0"/>
          <w:i w:val="0"/>
          <w:color w:val="172B4D"/>
          <w:sz w:val="21"/>
        </w:rPr>
        <w:t xml:space="preserve"> automation explicitly (a direct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build_automation()</w:t>
      </w:r>
      <w:r>
        <w:rPr>
          <w:b w:val="0"/>
          <w:i w:val="0"/>
          <w:color w:val="172B4D"/>
          <w:sz w:val="21"/>
        </w:rPr>
        <w:t xml:space="preserve"> call) — no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automations.yaml</w:t>
      </w:r>
      <w:r>
        <w:rPr>
          <w:b w:val="0"/>
          <w:i w:val="0"/>
          <w:color w:val="172B4D"/>
          <w:sz w:val="21"/>
        </w:rPr>
        <w:t xml:space="preserve">, no registry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discover()</w:t>
      </w:r>
      <w:r>
        <w:rPr>
          <w:b w:val="0"/>
          <w:i w:val="0"/>
          <w:color w:val="172B4D"/>
          <w:sz w:val="21"/>
        </w:rPr>
        <w:t xml:space="preserve"> scan.</w:t>
      </w:r>
    </w:p>
    <w:p>
      <w:pPr>
        <w:spacing w:before="160" w:after="80"/>
      </w:pPr>
      <w:r>
        <w:rPr>
          <w:b/>
          <w:color w:val="172B4D"/>
          <w:sz w:val="25"/>
        </w:rPr>
        <w:t>4.3 Observability — mandatory and uniform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For controls-sensitive finance work, "who did what" is the reviewer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sign-off artefact (a four-eyes control), not just logging.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Every run writes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audit_logs/&lt;timestamp&gt;/</w:t>
      </w:r>
      <w:r>
        <w:rPr>
          <w:b w:val="0"/>
          <w:i w:val="0"/>
          <w:color w:val="172B4D"/>
          <w:sz w:val="21"/>
        </w:rPr>
        <w:t>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audit.log</w:t>
      </w:r>
      <w:r>
        <w:rPr>
          <w:b w:val="0"/>
          <w:i w:val="0"/>
          <w:color w:val="172B4D"/>
          <w:sz w:val="21"/>
        </w:rPr>
        <w:t xml:space="preserve"> — human-readable, one line per event.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events.jsonl</w:t>
      </w:r>
      <w:r>
        <w:rPr>
          <w:b w:val="0"/>
          <w:i w:val="0"/>
          <w:color w:val="172B4D"/>
          <w:sz w:val="21"/>
        </w:rPr>
        <w:t xml:space="preserve"> — append-only; </w:t>
      </w:r>
      <w:r>
        <w:rPr>
          <w:b/>
          <w:i w:val="0"/>
          <w:color w:val="172B4D"/>
          <w:sz w:val="21"/>
        </w:rPr>
        <w:t>every event stamped `actor: automation | human`</w:t>
      </w:r>
      <w:r>
        <w:rPr>
          <w:b w:val="0"/>
          <w:i w:val="0"/>
          <w:color w:val="172B4D"/>
          <w:sz w:val="21"/>
        </w:rPr>
        <w:t>,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plus step/stage, action, status, timestamp, redactable detail.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run_summary.json</w:t>
      </w:r>
      <w:r>
        <w:rPr>
          <w:b w:val="0"/>
          <w:i w:val="0"/>
          <w:color w:val="172B4D"/>
          <w:sz w:val="21"/>
        </w:rPr>
        <w:t xml:space="preserve"> — the sign-off split: what the automation did vs. what a human did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or approved. Human events are auto-recorded at boundaries (run trigger; HITL gates). API: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audit.automation(...)</w:t>
      </w:r>
      <w:r>
        <w:rPr>
          <w:b w:val="0"/>
          <w:i w:val="0"/>
          <w:color w:val="172B4D"/>
          <w:sz w:val="21"/>
        </w:rPr>
        <w:t xml:space="preserve"> by default,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audit.human(who, action)</w:t>
      </w:r>
      <w:r>
        <w:rPr>
          <w:b w:val="0"/>
          <w:i w:val="0"/>
          <w:color w:val="172B4D"/>
          <w:sz w:val="21"/>
        </w:rPr>
        <w:t xml:space="preserve"> for anything a person did. Implementation is </w:t>
      </w:r>
      <w:r>
        <w:rPr>
          <w:b/>
          <w:i w:val="0"/>
          <w:color w:val="172B4D"/>
          <w:sz w:val="21"/>
        </w:rPr>
        <w:t>stdlib logging + JSONL</w:t>
      </w:r>
      <w:r>
        <w:rPr>
          <w:b w:val="0"/>
          <w:i w:val="0"/>
          <w:color w:val="172B4D"/>
          <w:sz w:val="21"/>
        </w:rPr>
        <w:t xml:space="preserve"> (always on, zero heavy deps); OTel is an optional extra to export spans off-box.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Attribution </w:t>
      </w:r>
      <w:r>
        <w:rPr>
          <w:b w:val="0"/>
          <w:i/>
          <w:color w:val="626F86"/>
          <w:sz w:val="21"/>
        </w:rPr>
        <w:t>is</w:t>
      </w:r>
      <w:r>
        <w:rPr>
          <w:b w:val="0"/>
          <w:i w:val="0"/>
          <w:color w:val="172B4D"/>
          <w:sz w:val="21"/>
        </w:rPr>
        <w:t xml:space="preserve"> the compliance value. Making it optional would create an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un-audited path, which for finance is unacceptable.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Whether or not the engine is used, the </w:t>
      </w:r>
      <w:r>
        <w:rPr>
          <w:b/>
          <w:i w:val="0"/>
          <w:color w:val="172B4D"/>
          <w:sz w:val="21"/>
        </w:rPr>
        <w:t>same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audit_logs/</w:t>
      </w:r>
      <w:r>
        <w:rPr>
          <w:b w:val="0"/>
          <w:i w:val="0"/>
          <w:color w:val="172B4D"/>
          <w:sz w:val="21"/>
        </w:rPr>
        <w:t xml:space="preserve"> trail is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produced — the engine bridges its events into the same stream via an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AuditSubscriber</w:t>
      </w:r>
      <w:r>
        <w:rPr>
          <w:b w:val="0"/>
          <w:i w:val="0"/>
          <w:color w:val="172B4D"/>
          <w:sz w:val="21"/>
        </w:rPr>
        <w:t>. Only the OTel library is optional; the observability capability is not.</w:t>
      </w:r>
    </w:p>
    <w:p>
      <w:pPr>
        <w:spacing w:before="160" w:after="80"/>
      </w:pPr>
      <w:r>
        <w:rPr>
          <w:b/>
          <w:color w:val="172B4D"/>
          <w:sz w:val="25"/>
        </w:rPr>
        <w:t>4.4 Excel — `render()` default, a narrow escape hatch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Raw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openpyxl</w:t>
      </w:r>
      <w:r>
        <w:rPr>
          <w:b w:val="0"/>
          <w:i w:val="0"/>
          <w:color w:val="172B4D"/>
          <w:sz w:val="21"/>
        </w:rPr>
        <w:t xml:space="preserve"> cell-poking had repeatedly caused corrupt files, data loss,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and stale-formula bugs in production. But a genuine minority of tools legitimately need raw access (in-place operator-workbook edits, live COM recalc,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.xlsm</w:t>
      </w:r>
      <w:r>
        <w:rPr>
          <w:b w:val="0"/>
          <w:i w:val="0"/>
          <w:color w:val="172B4D"/>
          <w:sz w:val="21"/>
        </w:rPr>
        <w:t xml:space="preserve"> macros, surgical edits to huge templates).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core.excel.render()</w:t>
      </w:r>
      <w:r>
        <w:rPr>
          <w:b w:val="0"/>
          <w:i w:val="0"/>
          <w:color w:val="172B4D"/>
          <w:sz w:val="21"/>
        </w:rPr>
        <w:t xml:space="preserve"> (build a pandas model → render </w:t>
      </w:r>
      <w:r>
        <w:rPr>
          <w:b/>
          <w:i w:val="0"/>
          <w:color w:val="172B4D"/>
          <w:sz w:val="21"/>
        </w:rPr>
        <w:t>once</w:t>
      </w:r>
      <w:r>
        <w:rPr>
          <w:b w:val="0"/>
          <w:i w:val="0"/>
          <w:color w:val="172B4D"/>
          <w:sz w:val="21"/>
        </w:rPr>
        <w:t>, atomic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save, preserve-by-default) is </w:t>
      </w:r>
      <w:r>
        <w:rPr>
          <w:b/>
          <w:i w:val="0"/>
          <w:color w:val="172B4D"/>
          <w:sz w:val="21"/>
        </w:rPr>
        <w:t>mandatory for all workbook generation</w:t>
      </w:r>
      <w:r>
        <w:rPr>
          <w:b w:val="0"/>
          <w:i w:val="0"/>
          <w:color w:val="172B4D"/>
          <w:sz w:val="21"/>
        </w:rPr>
        <w:t xml:space="preserve">. Raw openpyxl / xlwings-COM is allowed </w:t>
      </w:r>
      <w:r>
        <w:rPr>
          <w:b/>
          <w:i w:val="0"/>
          <w:color w:val="172B4D"/>
          <w:sz w:val="21"/>
        </w:rPr>
        <w:t>only</w:t>
      </w:r>
      <w:r>
        <w:rPr>
          <w:b w:val="0"/>
          <w:i w:val="0"/>
          <w:color w:val="172B4D"/>
          <w:sz w:val="21"/>
        </w:rPr>
        <w:t xml:space="preserve"> for the explicitly-declared cases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render()</w:t>
      </w:r>
      <w:r>
        <w:rPr>
          <w:b w:val="0"/>
          <w:i w:val="0"/>
          <w:color w:val="172B4D"/>
          <w:sz w:val="21"/>
        </w:rPr>
        <w:t xml:space="preserve"> structurally can't express — and money is </w:t>
      </w:r>
      <w:r>
        <w:rPr>
          <w:b/>
          <w:i w:val="0"/>
          <w:color w:val="172B4D"/>
          <w:sz w:val="21"/>
        </w:rPr>
        <w:t>`Decimal` (`coerce.money`)</w:t>
      </w:r>
      <w:r>
        <w:rPr>
          <w:b w:val="0"/>
          <w:i w:val="0"/>
          <w:color w:val="172B4D"/>
          <w:sz w:val="21"/>
        </w:rPr>
        <w:t xml:space="preserve"> even there. COM paths are flagged Windows-only.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This kills the corrupt-file / cent-drift bug class for the common case while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still accommodating the real exceptions the codebase proves exist. It honours the existing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CLAUDE.md</w:t>
      </w:r>
      <w:r>
        <w:rPr>
          <w:b w:val="0"/>
          <w:i w:val="0"/>
          <w:color w:val="172B4D"/>
          <w:sz w:val="21"/>
        </w:rPr>
        <w:t xml:space="preserve"> mandate rather than inventing a looser policy.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Shared safety utilities —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find_header</w:t>
      </w:r>
      <w:r>
        <w:rPr>
          <w:b w:val="0"/>
          <w:i w:val="0"/>
          <w:color w:val="172B4D"/>
          <w:sz w:val="21"/>
        </w:rPr>
        <w:t xml:space="preserve"> (ERP-preamble-resilient header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detection) and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repair_dropped_rels</w:t>
      </w:r>
      <w:r>
        <w:rPr>
          <w:b w:val="0"/>
          <w:i w:val="0"/>
          <w:color w:val="172B4D"/>
          <w:sz w:val="21"/>
        </w:rPr>
        <w:t xml:space="preserve"> (openpyxl external-link corruption on save) — were vendored into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core.excel.compat</w:t>
      </w:r>
      <w:r>
        <w:rPr>
          <w:b w:val="0"/>
          <w:i w:val="0"/>
          <w:color w:val="172B4D"/>
          <w:sz w:val="21"/>
        </w:rPr>
        <w:t xml:space="preserve"> because they were duplicated across production tools.</w:t>
      </w:r>
    </w:p>
    <w:p>
      <w:pPr>
        <w:spacing w:before="160" w:after="80"/>
      </w:pPr>
      <w:r>
        <w:rPr>
          <w:b/>
          <w:color w:val="172B4D"/>
          <w:sz w:val="25"/>
        </w:rPr>
        <w:t>4.5 No discovery, explicit wiring — legible over clever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The source monorepo used an auto-discovery registry 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automations.yaml</w:t>
      </w:r>
      <w:r>
        <w:rPr>
          <w:b w:val="0"/>
          <w:i w:val="0"/>
          <w:color w:val="172B4D"/>
          <w:sz w:val="21"/>
        </w:rPr>
        <w:t xml:space="preserve"> +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a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discover()</w:t>
      </w:r>
      <w:r>
        <w:rPr>
          <w:b w:val="0"/>
          <w:i w:val="0"/>
          <w:color w:val="172B4D"/>
          <w:sz w:val="21"/>
        </w:rPr>
        <w:t xml:space="preserve"> scan).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Drop it. The automation is wired </w:t>
      </w:r>
      <w:r>
        <w:rPr>
          <w:b/>
          <w:i w:val="0"/>
          <w:color w:val="172B4D"/>
          <w:sz w:val="21"/>
        </w:rPr>
        <w:t>directly</w:t>
      </w:r>
      <w:r>
        <w:rPr>
          <w:b w:val="0"/>
          <w:i w:val="0"/>
          <w:color w:val="172B4D"/>
          <w:sz w:val="21"/>
        </w:rPr>
        <w:t xml:space="preserve"> in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automation/automation.py</w:t>
      </w:r>
      <w:r>
        <w:rPr>
          <w:b w:val="0"/>
          <w:i w:val="0"/>
          <w:color w:val="172B4D"/>
          <w:sz w:val="21"/>
        </w:rPr>
        <w:t>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A missing or misconfigured step fails loudly, never silently.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A copy-me starter must be something the next developer reads top-to-bottom, not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reverse-engineers. Magic registries optimise for a large monorepo; a per-repo template optimises for legibility.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More explicitness in each repo, which is exactly the point.</w:t>
      </w:r>
    </w:p>
    <w:p>
      <w:pPr>
        <w:spacing w:before="160" w:after="80"/>
      </w:pPr>
      <w:r>
        <w:rPr>
          <w:b/>
          <w:color w:val="172B4D"/>
          <w:sz w:val="25"/>
        </w:rPr>
        <w:t>4.6 Safe `.gitignore` as a security control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The source repo had a real leak: journal-entry run traces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audit_logs/**/trace.jsonl</w:t>
      </w:r>
      <w:r>
        <w:rPr>
          <w:b w:val="0"/>
          <w:i w:val="0"/>
          <w:color w:val="172B4D"/>
          <w:sz w:val="21"/>
        </w:rPr>
        <w:t xml:space="preserve">) were committed to a shared remote because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audit_logs/</w:t>
      </w:r>
      <w:r>
        <w:rPr>
          <w:b w:val="0"/>
          <w:i w:val="0"/>
          <w:color w:val="172B4D"/>
          <w:sz w:val="21"/>
        </w:rPr>
        <w:t xml:space="preserve"> was not ignored. A global auto-commit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git add .</w:t>
      </w:r>
      <w:r>
        <w:rPr>
          <w:b w:val="0"/>
          <w:i w:val="0"/>
          <w:color w:val="172B4D"/>
          <w:sz w:val="21"/>
        </w:rPr>
        <w:t xml:space="preserve"> hook on this machine compounds that risk on data repos.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The shipped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.gitignore</w:t>
      </w:r>
      <w:r>
        <w:rPr>
          <w:b w:val="0"/>
          <w:i w:val="0"/>
          <w:color w:val="172B4D"/>
          <w:sz w:val="21"/>
        </w:rPr>
        <w:t xml:space="preserve"> ignores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inputs/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outputs/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audit_logs/</w:t>
      </w:r>
      <w:r>
        <w:rPr>
          <w:b w:val="0"/>
          <w:i w:val="0"/>
          <w:color w:val="172B4D"/>
          <w:sz w:val="21"/>
        </w:rPr>
        <w:t>,</w:t>
      </w:r>
    </w:p>
    <w:p>
      <w:pPr>
        <w:spacing w:after="1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runs/</w:t>
      </w:r>
      <w:r>
        <w:rPr>
          <w:b w:val="0"/>
          <w:i w:val="0"/>
          <w:color w:val="172B4D"/>
          <w:sz w:val="21"/>
        </w:rPr>
        <w:t xml:space="preserve">, recordings, and browser profiles </w:t>
      </w:r>
      <w:r>
        <w:rPr>
          <w:b/>
          <w:i w:val="0"/>
          <w:color w:val="172B4D"/>
          <w:sz w:val="21"/>
        </w:rPr>
        <w:t>by default</w:t>
      </w:r>
      <w:r>
        <w:rPr>
          <w:b w:val="0"/>
          <w:i w:val="0"/>
          <w:color w:val="172B4D"/>
          <w:sz w:val="21"/>
        </w:rPr>
        <w:t xml:space="preserve"> — treated as a control, not a convenience. Client financial data must never be committed.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Deny-by-default is the only safe posture when an auto-commit hook can stage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everything. Secrets come from the OS keychain 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core.secretstore</w:t>
      </w:r>
      <w:r>
        <w:rPr>
          <w:b w:val="0"/>
          <w:i w:val="0"/>
          <w:color w:val="172B4D"/>
          <w:sz w:val="21"/>
        </w:rPr>
        <w:t>), never source.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A fresh clone won't carry data dirs;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.gitkeep</w:t>
      </w:r>
      <w:r>
        <w:rPr>
          <w:b w:val="0"/>
          <w:i w:val="0"/>
          <w:color w:val="172B4D"/>
          <w:sz w:val="21"/>
        </w:rPr>
        <w:t xml:space="preserve"> placeholders keep the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structure.</w:t>
      </w:r>
    </w:p>
    <w:p>
      <w:pPr>
        <w:spacing w:before="160" w:after="80"/>
      </w:pPr>
      <w:r>
        <w:rPr>
          <w:b/>
          <w:color w:val="172B4D"/>
          <w:sz w:val="25"/>
        </w:rPr>
        <w:t>4.7 Cross-platform by construction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Pure-Python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openpyxl</w:t>
      </w:r>
      <w:r>
        <w:rPr>
          <w:b w:val="0"/>
          <w:i w:val="0"/>
          <w:color w:val="172B4D"/>
          <w:sz w:val="21"/>
        </w:rPr>
        <w:t xml:space="preserve"> /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render()</w:t>
      </w:r>
      <w:r>
        <w:rPr>
          <w:b w:val="0"/>
          <w:i w:val="0"/>
          <w:color w:val="172B4D"/>
          <w:sz w:val="21"/>
        </w:rPr>
        <w:t xml:space="preserve"> is the cross-platform default;</w:t>
      </w:r>
    </w:p>
    <w:p>
      <w:pPr>
        <w:spacing w:after="1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secretstore</w:t>
      </w:r>
      <w:r>
        <w:rPr>
          <w:b w:val="0"/>
          <w:i w:val="0"/>
          <w:color w:val="172B4D"/>
          <w:sz w:val="21"/>
        </w:rPr>
        <w:t xml:space="preserve"> got a macOS Keychain backend + a platform-aware factory (the Windows-only original was the single biggest portability bug). xlwings/COM recalc is Windows-only and flagged per-automation.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Developers work on Macs; operators may be on Windows. The default lane must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work on both, with the platform-specific escape hatch clearly marked.</w:t>
      </w:r>
    </w:p>
    <w:p>
      <w:pPr>
        <w:spacing w:before="160" w:after="80"/>
      </w:pPr>
      <w:r>
        <w:rPr>
          <w:b/>
          <w:color w:val="172B4D"/>
          <w:sz w:val="25"/>
        </w:rPr>
        <w:t>4.8 Distribution — a GitHub template + two READMEs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The asset has to be adopted by other teams with minimal friction, and each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adoption must start a clean, self-contained automation repo.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Ship the harness as a </w:t>
      </w:r>
      <w:r>
        <w:rPr>
          <w:b/>
          <w:i w:val="0"/>
          <w:color w:val="172B4D"/>
          <w:sz w:val="21"/>
        </w:rPr>
        <w:t>published GitHub template repo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314495_ai-ops-harness-swat</w:t>
      </w:r>
      <w:r>
        <w:rPr>
          <w:b w:val="0"/>
          <w:i w:val="0"/>
          <w:color w:val="172B4D"/>
          <w:sz w:val="21"/>
        </w:rPr>
        <w:t xml:space="preserve">, "Use this template" enabled). Because GitHub copies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README.md</w:t>
      </w:r>
      <w:r>
        <w:rPr>
          <w:b w:val="0"/>
          <w:i w:val="0"/>
          <w:color w:val="172B4D"/>
          <w:sz w:val="21"/>
        </w:rPr>
        <w:t xml:space="preserve"> verbatim into every generated repo, split the READMEs by audience: the landing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README.md</w:t>
      </w:r>
      <w:r>
        <w:rPr>
          <w:b w:val="0"/>
          <w:i w:val="0"/>
          <w:color w:val="172B4D"/>
          <w:sz w:val="21"/>
        </w:rPr>
        <w:t xml:space="preserve"> is the </w:t>
      </w:r>
      <w:r>
        <w:rPr>
          <w:b/>
          <w:i w:val="0"/>
          <w:color w:val="172B4D"/>
          <w:sz w:val="21"/>
        </w:rPr>
        <w:t>harness page</w:t>
      </w:r>
      <w:r>
        <w:rPr>
          <w:b w:val="0"/>
          <w:i w:val="0"/>
          <w:color w:val="172B4D"/>
          <w:sz w:val="21"/>
        </w:rPr>
        <w:t xml:space="preserve"> (for a developer evaluating the template); the clean operator/build run-guide ships as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README.automation.md</w:t>
      </w:r>
      <w:r>
        <w:rPr>
          <w:b w:val="0"/>
          <w:i w:val="0"/>
          <w:color w:val="172B4D"/>
          <w:sz w:val="21"/>
        </w:rPr>
        <w:t xml:space="preserve"> and is </w:t>
      </w:r>
      <w:r>
        <w:rPr>
          <w:b/>
          <w:i w:val="0"/>
          <w:color w:val="172B4D"/>
          <w:sz w:val="21"/>
        </w:rPr>
        <w:t>promoted to `README.md` at spin-up</w:t>
      </w:r>
      <w:r>
        <w:rPr>
          <w:b w:val="0"/>
          <w:i w:val="0"/>
          <w:color w:val="172B4D"/>
          <w:sz w:val="21"/>
        </w:rPr>
        <w:t xml:space="preserve"> — Step 0 in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CLAUDE.md</w:t>
      </w:r>
      <w:r>
        <w:rPr>
          <w:b w:val="0"/>
          <w:i w:val="0"/>
          <w:color w:val="172B4D"/>
          <w:sz w:val="21"/>
        </w:rPr>
        <w:t xml:space="preserve">: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rm README.md &amp;&amp; mv README.automation.md README.md</w:t>
      </w:r>
      <w:r>
        <w:rPr>
          <w:b w:val="0"/>
          <w:i w:val="0"/>
          <w:color w:val="172B4D"/>
          <w:sz w:val="21"/>
        </w:rPr>
        <w:t>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One README can't serve both the "evaluate the template on GitHub" moment and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the "run the shipped automation" moment — it is the landing page for both. Splitting by lifecycle moment, bridged by a one-line promote, gives each its right first impression.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The promote is manual until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copier</w:t>
      </w:r>
      <w:r>
        <w:rPr>
          <w:b w:val="0"/>
          <w:i w:val="0"/>
          <w:color w:val="172B4D"/>
          <w:sz w:val="21"/>
        </w:rPr>
        <w:t xml:space="preserve"> lands (copier can do the rename on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generation — §5, §9). The dev boilerplate and a public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Mrinmayas/arena</w:t>
      </w:r>
      <w:r>
        <w:rPr>
          <w:b w:val="0"/>
          <w:i w:val="0"/>
          <w:color w:val="172B4D"/>
          <w:sz w:val="21"/>
        </w:rPr>
        <w:t xml:space="preserve"> mirror are kept byte-for-byte in sync with the template.</w:t>
      </w:r>
    </w:p>
    <w:p>
      <w:pPr>
        <w:spacing w:before="160" w:after="80"/>
      </w:pPr>
      <w:r>
        <w:rPr>
          <w:b/>
          <w:color w:val="172B4D"/>
          <w:sz w:val="25"/>
        </w:rPr>
        <w:t>4.9 Portal login — a persistent profile with session teardown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Context.</w:t>
      </w:r>
      <w:r>
        <w:rPr>
          <w:b w:val="0"/>
          <w:i w:val="0"/>
          <w:color w:val="172B4D"/>
          <w:sz w:val="21"/>
        </w:rPr>
        <w:t xml:space="preserve"> Most portals sit behind Entra SSO with Conditional Access, which requires a</w:t>
      </w:r>
    </w:p>
    <w:p>
      <w:pPr>
        <w:spacing w:after="120"/>
      </w:pPr>
      <w:r>
        <w:rPr>
          <w:b w:val="0"/>
          <w:i/>
          <w:color w:val="626F86"/>
          <w:sz w:val="21"/>
        </w:rPr>
        <w:t>compliant device</w:t>
      </w:r>
      <w:r>
        <w:rPr>
          <w:b w:val="0"/>
          <w:i w:val="0"/>
          <w:color w:val="172B4D"/>
          <w:sz w:val="21"/>
        </w:rPr>
        <w:t>; a throwaway browser profile is rejected as non-compliant and blocked.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Decision.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core.portals</w:t>
      </w:r>
      <w:r>
        <w:rPr>
          <w:b w:val="0"/>
          <w:i w:val="0"/>
          <w:color w:val="172B4D"/>
          <w:sz w:val="21"/>
        </w:rPr>
        <w:t xml:space="preserve"> launches the default browser channel against a **persistent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on-disk profile 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user_data_dir</w:t>
      </w:r>
      <w:r>
        <w:rPr>
          <w:b w:val="0"/>
          <w:i w:val="0"/>
          <w:color w:val="172B4D"/>
          <w:sz w:val="21"/>
        </w:rPr>
        <w:t>)</w:t>
      </w:r>
      <w:r>
        <w:rPr>
          <w:b/>
          <w:i w:val="0"/>
          <w:color w:val="172B4D"/>
          <w:sz w:val="21"/>
        </w:rPr>
        <w:t xml:space="preserve">, so the device's real compliance state is presented — log in once, reuse the session across runs. On close, a </w:t>
      </w:r>
      <w:r>
        <w:rPr>
          <w:b w:val="0"/>
          <w:i w:val="0"/>
          <w:color w:val="172B4D"/>
          <w:sz w:val="21"/>
        </w:rPr>
        <w:t xml:space="preserve">teardown clears the web session (cookies +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localStorage</w:t>
      </w:r>
      <w:r>
        <w:rPr>
          <w:b w:val="0"/>
          <w:i w:val="0"/>
          <w:color w:val="172B4D"/>
          <w:sz w:val="21"/>
        </w:rPr>
        <w:t>/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sessionStorage</w:t>
      </w:r>
      <w:r>
        <w:rPr>
          <w:b w:val="0"/>
          <w:i w:val="0"/>
          <w:color w:val="172B4D"/>
          <w:sz w:val="21"/>
        </w:rPr>
        <w:t xml:space="preserve">) but keeps the profile** (best-effort, never raises); the low-level launcher also closes context + browser in a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finally</w:t>
      </w:r>
      <w:r>
        <w:rPr>
          <w:b w:val="0"/>
          <w:i w:val="0"/>
          <w:color w:val="172B4D"/>
          <w:sz w:val="21"/>
        </w:rPr>
        <w:t xml:space="preserve">. Credentials for username/password portals come from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core.secretstore</w:t>
      </w:r>
      <w:r>
        <w:rPr>
          <w:b w:val="0"/>
          <w:i w:val="0"/>
          <w:color w:val="172B4D"/>
          <w:sz w:val="21"/>
        </w:rPr>
        <w:t xml:space="preserve"> (OS keychain), never source.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Why.</w:t>
      </w:r>
      <w:r>
        <w:rPr>
          <w:b w:val="0"/>
          <w:i w:val="0"/>
          <w:color w:val="172B4D"/>
          <w:sz w:val="21"/>
        </w:rPr>
        <w:t xml:space="preserve"> The persistent profile is what makes Conditional-Access SSO work unattended;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clearing the web session each run gives a clean login </w:t>
      </w:r>
      <w:r>
        <w:rPr>
          <w:b w:val="0"/>
          <w:i/>
          <w:color w:val="626F86"/>
          <w:sz w:val="21"/>
        </w:rPr>
        <w:t>without</w:t>
      </w:r>
      <w:r>
        <w:rPr>
          <w:b w:val="0"/>
          <w:i w:val="0"/>
          <w:color w:val="172B4D"/>
          <w:sz w:val="21"/>
        </w:rPr>
        <w:t xml:space="preserve"> discarding the device identity Conditional Access depends on. Keeping the two separate — </w:t>
      </w:r>
      <w:r>
        <w:rPr>
          <w:b/>
          <w:i w:val="0"/>
          <w:color w:val="172B4D"/>
          <w:sz w:val="21"/>
        </w:rPr>
        <w:t>disposable session, durable device profile</w:t>
      </w:r>
      <w:r>
        <w:rPr>
          <w:b w:val="0"/>
          <w:i w:val="0"/>
          <w:color w:val="172B4D"/>
          <w:sz w:val="21"/>
        </w:rPr>
        <w:t xml:space="preserve"> — is the non-obvious lesson a naive "clear everything on teardown" would break (it would silently re-trigger a compliance block).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Consequence.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core.portals</w:t>
      </w:r>
      <w:r>
        <w:rPr>
          <w:b w:val="0"/>
          <w:i w:val="0"/>
          <w:color w:val="172B4D"/>
          <w:sz w:val="21"/>
        </w:rPr>
        <w:t xml:space="preserve"> is engine-decoupled, so a simple download-and-process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tool logs in without pulling in the engine; the recorder captures a flow (selectors + screenshots) during development.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5. Decisions we reversed — and why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Honest record of the thinking, because the reversals </w:t>
      </w:r>
      <w:r>
        <w:rPr>
          <w:b w:val="0"/>
          <w:i/>
          <w:color w:val="626F86"/>
          <w:sz w:val="21"/>
        </w:rPr>
        <w:t>are</w:t>
      </w:r>
      <w:r>
        <w:rPr>
          <w:b w:val="0"/>
          <w:i w:val="0"/>
          <w:color w:val="172B4D"/>
          <w:sz w:val="21"/>
        </w:rPr>
        <w:t xml:space="preserve"> the design process.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Two scaffolds → one spine.</w:t>
      </w:r>
      <w:r>
        <w:rPr>
          <w:b w:val="0"/>
          <w:i w:val="0"/>
          <w:color w:val="172B4D"/>
          <w:sz w:val="21"/>
        </w:rPr>
        <w:t xml:space="preserve"> Initially planned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simple</w:t>
      </w:r>
      <w:r>
        <w:rPr>
          <w:b w:val="0"/>
          <w:i w:val="0"/>
          <w:color w:val="172B4D"/>
          <w:sz w:val="21"/>
        </w:rPr>
        <w:t xml:space="preserve"> +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orchestrated</w:t>
      </w:r>
      <w:r>
        <w:rPr>
          <w:b w:val="0"/>
          <w:i w:val="0"/>
          <w:color w:val="172B4D"/>
          <w:sz w:val="21"/>
        </w:rPr>
        <w:t xml:space="preserve"> scaffolds.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Reversed to a single spine with the engine opt-in, to avoid two divergent structures to maintain (§4.2).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Vendored core was challenged.</w:t>
      </w:r>
      <w:r>
        <w:rPr>
          <w:b w:val="0"/>
          <w:i w:val="0"/>
          <w:color w:val="172B4D"/>
          <w:sz w:val="21"/>
        </w:rPr>
        <w:t xml:space="preserve"> An independent critique argued for a versioned,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installable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wsa-core</w:t>
      </w:r>
      <w:r>
        <w:rPr>
          <w:b w:val="0"/>
          <w:i w:val="0"/>
          <w:color w:val="172B4D"/>
          <w:sz w:val="21"/>
        </w:rPr>
        <w:t xml:space="preserve"> package pinned per repo instead of vendoring, plus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copier</w:t>
      </w:r>
      <w:r>
        <w:rPr>
          <w:b w:val="0"/>
          <w:i w:val="0"/>
          <w:color w:val="172B4D"/>
          <w:sz w:val="21"/>
        </w:rPr>
        <w:t xml:space="preserve"> for the shell. We kept </w:t>
      </w:r>
      <w:r>
        <w:rPr>
          <w:b/>
          <w:i w:val="0"/>
          <w:color w:val="172B4D"/>
          <w:sz w:val="21"/>
        </w:rPr>
        <w:t>vendoring</w:t>
      </w:r>
      <w:r>
        <w:rPr>
          <w:b w:val="0"/>
          <w:i w:val="0"/>
          <w:color w:val="172B4D"/>
          <w:sz w:val="21"/>
        </w:rPr>
        <w:t xml:space="preserve"> (it fits the self-contained, client-isolated, laptop- runnable model) but adopted the critique's real point: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copier update</w:t>
      </w:r>
      <w:r>
        <w:rPr>
          <w:b w:val="0"/>
          <w:i w:val="0"/>
          <w:color w:val="172B4D"/>
          <w:sz w:val="21"/>
        </w:rPr>
        <w:t xml:space="preserve"> is the eventual answer to vendored-core drift. Copier is </w:t>
      </w:r>
      <w:r>
        <w:rPr>
          <w:b/>
          <w:i w:val="0"/>
          <w:color w:val="172B4D"/>
          <w:sz w:val="21"/>
        </w:rPr>
        <w:t>deferred</w:t>
      </w:r>
      <w:r>
        <w:rPr>
          <w:b w:val="0"/>
          <w:i w:val="0"/>
          <w:color w:val="172B4D"/>
          <w:sz w:val="21"/>
        </w:rPr>
        <w:t>, not rejected.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Excel dual-policy tightened.</w:t>
      </w:r>
      <w:r>
        <w:rPr>
          <w:b w:val="0"/>
          <w:i w:val="0"/>
          <w:color w:val="172B4D"/>
          <w:sz w:val="21"/>
        </w:rPr>
        <w:t xml:space="preserve"> An early "raw openpyxl for standalone tools" idea was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narrowed to "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render()</w:t>
      </w:r>
      <w:r>
        <w:rPr>
          <w:b w:val="0"/>
          <w:i w:val="0"/>
          <w:color w:val="172B4D"/>
          <w:sz w:val="21"/>
        </w:rPr>
        <w:t xml:space="preserve"> mandatory + a narrow, explicitly-declared escape hatch" (§4.4), matching the existing hard-won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CLAUDE.md</w:t>
      </w:r>
      <w:r>
        <w:rPr>
          <w:b w:val="0"/>
          <w:i w:val="0"/>
          <w:color w:val="172B4D"/>
          <w:sz w:val="21"/>
        </w:rPr>
        <w:t xml:space="preserve"> rule rather than loosening it.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Data-exposure remediation deprioritised.</w:t>
      </w:r>
      <w:r>
        <w:rPr>
          <w:b w:val="0"/>
          <w:i w:val="0"/>
          <w:color w:val="172B4D"/>
          <w:sz w:val="21"/>
        </w:rPr>
        <w:t xml:space="preserve"> The committed-traces leak (§4.6) is real,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but the sponsor judged it intra-firm with no client harm and out of scope for this asset; history rewrite + force-push to a shared remote is destructive and team- coordinated. So the harness </w:t>
      </w:r>
      <w:r>
        <w:rPr>
          <w:b w:val="0"/>
          <w:i/>
          <w:color w:val="626F86"/>
          <w:sz w:val="21"/>
        </w:rPr>
        <w:t>prevents</w:t>
      </w:r>
      <w:r>
        <w:rPr>
          <w:b w:val="0"/>
          <w:i w:val="0"/>
          <w:color w:val="172B4D"/>
          <w:sz w:val="21"/>
        </w:rPr>
        <w:t xml:space="preserve"> the pattern going forward (safe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.gitignore</w:t>
      </w:r>
      <w:r>
        <w:rPr>
          <w:b w:val="0"/>
          <w:i w:val="0"/>
          <w:color w:val="172B4D"/>
          <w:sz w:val="21"/>
        </w:rPr>
        <w:t>) without rewriting existing history.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ROI framing corrected.</w:t>
      </w:r>
      <w:r>
        <w:rPr>
          <w:b w:val="0"/>
          <w:i w:val="0"/>
          <w:color w:val="172B4D"/>
          <w:sz w:val="21"/>
        </w:rPr>
        <w:t xml:space="preserve"> Early illustrative day-counts ("1 week → 3.5 days") were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dropped in favour of </w:t>
      </w:r>
      <w:r>
        <w:rPr>
          <w:b/>
          <w:i w:val="0"/>
          <w:color w:val="172B4D"/>
          <w:sz w:val="21"/>
        </w:rPr>
        <w:t>~35% build effort saved per use case</w:t>
      </w:r>
      <w:r>
        <w:rPr>
          <w:b w:val="0"/>
          <w:i w:val="0"/>
          <w:color w:val="172B4D"/>
          <w:sz w:val="21"/>
        </w:rPr>
        <w:t>, with the build-vs-operator distinction made explicit (§1).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6. What got built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Built on branch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feature/ai-ops-boilerplate</w:t>
      </w:r>
      <w:r>
        <w:rPr>
          <w:b w:val="0"/>
          <w:i w:val="0"/>
          <w:color w:val="172B4D"/>
          <w:sz w:val="21"/>
        </w:rPr>
        <w:t xml:space="preserve"> of the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314495_wsa-automation</w:t>
      </w:r>
      <w:r>
        <w:rPr>
          <w:b w:val="0"/>
          <w:i w:val="0"/>
          <w:color w:val="172B4D"/>
          <w:sz w:val="21"/>
        </w:rPr>
        <w:t xml:space="preserve"> repo (a git worktree;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main</w:t>
      </w:r>
      <w:r>
        <w:rPr>
          <w:b w:val="0"/>
          <w:i w:val="0"/>
          <w:color w:val="172B4D"/>
          <w:sz w:val="21"/>
        </w:rPr>
        <w:t xml:space="preserve"> untouched) and </w:t>
      </w:r>
      <w:r>
        <w:rPr>
          <w:b/>
          <w:i w:val="0"/>
          <w:color w:val="172B4D"/>
          <w:sz w:val="21"/>
        </w:rPr>
        <w:t>published as the GitHub template repo `314495_ai-ops-harness-swat`</w:t>
      </w:r>
      <w:r>
        <w:rPr>
          <w:b w:val="0"/>
          <w:i w:val="0"/>
          <w:color w:val="172B4D"/>
          <w:sz w:val="21"/>
        </w:rPr>
        <w:t xml:space="preserve"> ("Use this template" enabled); a public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Mrinmayas/arena</w:t>
      </w:r>
      <w:r>
        <w:rPr>
          <w:b w:val="0"/>
          <w:i w:val="0"/>
          <w:color w:val="172B4D"/>
          <w:sz w:val="21"/>
        </w:rPr>
        <w:t xml:space="preserve"> copy mirrors it. All three are kept byte-for-byte in sync. </w:t>
      </w:r>
      <w:r>
        <w:rPr>
          <w:b/>
          <w:i w:val="0"/>
          <w:color w:val="172B4D"/>
          <w:sz w:val="21"/>
        </w:rPr>
        <w:t>20/20 tests green.</w:t>
      </w:r>
    </w:p>
    <w:p>
      <w:pPr>
        <w:spacing w:after="120"/>
      </w:pPr>
      <w:r>
        <w:rPr>
          <w:b/>
          <w:i w:val="0"/>
          <w:color w:val="172B4D"/>
          <w:sz w:val="21"/>
        </w:rPr>
        <w:t>Vendored, generic `core/`</w:t>
      </w:r>
      <w:r>
        <w:rPr>
          <w:b w:val="0"/>
          <w:i w:val="0"/>
          <w:color w:val="172B4D"/>
          <w:sz w:val="21"/>
        </w:rPr>
        <w:t xml:space="preserve"> — brand-free, distilled from the trusted production tools: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70"/>
        <w:gridCol w:w="4970"/>
      </w:tblGrid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  <w:shd w:val="clear" w:fill="F4F5F7"/>
          </w:tcPr>
          <w:p>
            <w:pPr>
              <w:spacing w:after="20" w:before="20"/>
            </w:pPr>
            <w:r/>
            <w:r>
              <w:rPr>
                <w:b/>
                <w:color w:val="172B4D"/>
                <w:sz w:val="19"/>
              </w:rPr>
              <w:t>Module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  <w:shd w:val="clear" w:fill="F4F5F7"/>
          </w:tcPr>
          <w:p>
            <w:pPr>
              <w:spacing w:after="20" w:before="20"/>
            </w:pPr>
            <w:r/>
            <w:r>
              <w:rPr>
                <w:b/>
                <w:color w:val="172B4D"/>
                <w:sz w:val="19"/>
              </w:rPr>
              <w:t>Provides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core.audit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Always-on observability; `actor: automation \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core.excel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render()</w:t>
            </w:r>
            <w:r>
              <w:rPr>
                <w:b w:val="0"/>
                <w:i w:val="0"/>
                <w:color w:val="172B4D"/>
                <w:sz w:val="19"/>
              </w:rPr>
              <w:t xml:space="preserve"> framework (pandas model → one atomic write),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Decimal</w:t>
            </w:r>
            <w:r>
              <w:rPr>
                <w:b w:val="0"/>
                <w:i w:val="0"/>
                <w:color w:val="172B4D"/>
                <w:sz w:val="19"/>
              </w:rPr>
              <w:t xml:space="preserve"> money, formula seam, plus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compat.py</w:t>
            </w:r>
            <w:r>
              <w:rPr>
                <w:b w:val="0"/>
                <w:i w:val="0"/>
                <w:color w:val="172B4D"/>
                <w:sz w:val="19"/>
              </w:rPr>
              <w:t xml:space="preserve"> =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find_header</w:t>
            </w:r>
            <w:r>
              <w:rPr>
                <w:b w:val="0"/>
                <w:i w:val="0"/>
                <w:color w:val="172B4D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repair_dropped_rels</w:t>
            </w:r>
            <w:r>
              <w:rPr>
                <w:b w:val="0"/>
                <w:i w:val="0"/>
                <w:color w:val="172B4D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snapshot_rels</w:t>
            </w:r>
            <w:r>
              <w:rPr>
                <w:b w:val="0"/>
                <w:i w:val="0"/>
                <w:color w:val="172B4D"/>
                <w:sz w:val="19"/>
              </w:rPr>
              <w:t>.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core.portals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Generic browser-login base, engine-decoupled: default-channel auto-launch, persistent Entra/Conditional-Access profile, tiered click-flow, teardown. SSO </w:t>
            </w:r>
            <w:r>
              <w:rPr>
                <w:b w:val="0"/>
                <w:i/>
                <w:color w:val="626F86"/>
                <w:sz w:val="19"/>
              </w:rPr>
              <w:t>and</w:t>
            </w:r>
            <w:r>
              <w:rPr>
                <w:b w:val="0"/>
                <w:i w:val="0"/>
                <w:color w:val="172B4D"/>
                <w:sz w:val="19"/>
              </w:rPr>
              <w:t xml:space="preserve"> username/password.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core.secretstore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Credential store with Windows (Credential Manager) </w:t>
            </w:r>
            <w:r>
              <w:rPr>
                <w:b/>
                <w:i w:val="0"/>
                <w:color w:val="172B4D"/>
                <w:sz w:val="19"/>
              </w:rPr>
              <w:t>and</w:t>
            </w:r>
            <w:r>
              <w:rPr>
                <w:b w:val="0"/>
                <w:i w:val="0"/>
                <w:color w:val="172B4D"/>
                <w:sz w:val="19"/>
              </w:rPr>
              <w:t xml:space="preserve"> macOS (Keychain) backends + a platform-aware factory.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core.engine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Opt-in orchestration: Automation → Stage → Step, retries, resume, HITL, structured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runs/</w:t>
            </w:r>
            <w:r>
              <w:rPr>
                <w:b w:val="0"/>
                <w:i w:val="0"/>
                <w:color w:val="172B4D"/>
                <w:sz w:val="19"/>
              </w:rPr>
              <w:t xml:space="preserve"> store. Bridges events into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core.audit</w:t>
            </w:r>
            <w:r>
              <w:rPr>
                <w:b w:val="0"/>
                <w:i w:val="0"/>
                <w:color w:val="172B4D"/>
                <w:sz w:val="19"/>
              </w:rPr>
              <w:t>.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core.docs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 xml:space="preserve">One reconciled </w:t>
            </w:r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PROCESS_STEPS.md</w:t>
            </w:r>
            <w:r>
              <w:rPr>
                <w:b w:val="0"/>
                <w:i w:val="0"/>
                <w:color w:val="172B4D"/>
                <w:sz w:val="19"/>
              </w:rPr>
              <w:t xml:space="preserve"> → README + operator Word guide + draw.io diagram (see §7).</w:t>
            </w:r>
          </w:p>
        </w:tc>
      </w:tr>
      <w:tr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i w:val="0"/>
                <w:color w:val="40302A"/>
                <w:sz w:val="19"/>
                <w:shd w:val="clear" w:fill="F4F5F7"/>
              </w:rPr>
              <w:t>recorder/</w:t>
            </w:r>
          </w:p>
        </w:tc>
        <w:tc>
          <w:tcPr>
            <w:tcW w:type="dxa" w:w="4970"/>
            <w:tcBorders>
              <w:top w:val="single" w:sz="4" w:space="0" w:color="DFE1E6"/>
              <w:bottom w:val="single" w:sz="4" w:space="0" w:color="DFE1E6"/>
              <w:left w:val="single" w:sz="4" w:space="0" w:color="DFE1E6"/>
              <w:right w:val="single" w:sz="4" w:space="0" w:color="DFE1E6"/>
            </w:tcBorders>
          </w:tcPr>
          <w:p>
            <w:pPr>
              <w:spacing w:after="20" w:before="20"/>
            </w:pPr>
            <w:r/>
            <w:r>
              <w:rPr>
                <w:b w:val="0"/>
                <w:i w:val="0"/>
                <w:color w:val="172B4D"/>
                <w:sz w:val="19"/>
              </w:rPr>
              <w:t>Standalone, config-driven Playwright recorder (dev-time capture).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color w:val="172B4D"/>
          <w:sz w:val="21"/>
        </w:rPr>
        <w:t>Six build-time skills</w:t>
      </w:r>
      <w:r>
        <w:rPr>
          <w:b w:val="0"/>
          <w:i w:val="0"/>
          <w:color w:val="172B4D"/>
          <w:sz w:val="21"/>
        </w:rPr>
        <w:t xml:space="preserve"> in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.claude/skills/</w:t>
      </w:r>
      <w:r>
        <w:rPr>
          <w:b w:val="0"/>
          <w:i w:val="0"/>
          <w:color w:val="172B4D"/>
          <w:sz w:val="21"/>
        </w:rPr>
        <w:t xml:space="preserve"> — the differentiated value (§8), each written against the shipped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core/</w:t>
      </w:r>
      <w:r>
        <w:rPr>
          <w:b w:val="0"/>
          <w:i w:val="0"/>
          <w:color w:val="172B4D"/>
          <w:sz w:val="21"/>
        </w:rPr>
        <w:t xml:space="preserve"> and symbol-checked so it teaches the real API: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observability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excel-automation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portal-login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test-generation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doc-generation</w:t>
      </w:r>
      <w:r>
        <w:rPr>
          <w:b w:val="0"/>
          <w:i w:val="0"/>
          <w:color w:val="172B4D"/>
          <w:sz w:val="21"/>
        </w:rPr>
        <w:t xml:space="preserve">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workflow-diagram-generation</w:t>
      </w:r>
      <w:r>
        <w:rPr>
          <w:b w:val="0"/>
          <w:i w:val="0"/>
          <w:color w:val="172B4D"/>
          <w:sz w:val="21"/>
        </w:rPr>
        <w:t>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Plus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docs/AUTHORING.md</w:t>
      </w:r>
      <w:r>
        <w:rPr>
          <w:b w:val="0"/>
          <w:i w:val="0"/>
          <w:color w:val="172B4D"/>
          <w:sz w:val="21"/>
        </w:rPr>
        <w:t xml:space="preserve"> (the runbook), a skeletal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CLAUDE.md</w:t>
      </w:r>
      <w:r>
        <w:rPr>
          <w:b w:val="0"/>
          <w:i w:val="0"/>
          <w:color w:val="172B4D"/>
          <w:sz w:val="21"/>
        </w:rPr>
        <w:t xml:space="preserve"> (house rules for the AI assistant, incl. Step 0), the two-README pair 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README.md</w:t>
      </w:r>
      <w:r>
        <w:rPr>
          <w:b w:val="0"/>
          <w:i w:val="0"/>
          <w:color w:val="172B4D"/>
          <w:sz w:val="21"/>
        </w:rPr>
        <w:t xml:space="preserve"> harness page +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README.automation.md</w:t>
      </w:r>
      <w:r>
        <w:rPr>
          <w:b w:val="0"/>
          <w:i w:val="0"/>
          <w:color w:val="172B4D"/>
          <w:sz w:val="21"/>
        </w:rPr>
        <w:t xml:space="preserve"> run-guide), the capability-extras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pyproject.toml</w:t>
      </w:r>
      <w:r>
        <w:rPr>
          <w:b w:val="0"/>
          <w:i w:val="0"/>
          <w:color w:val="172B4D"/>
          <w:sz w:val="21"/>
        </w:rPr>
        <w:t xml:space="preserve">, and — under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docs/_harness/</w:t>
      </w:r>
      <w:r>
        <w:rPr>
          <w:b w:val="0"/>
          <w:i w:val="0"/>
          <w:color w:val="172B4D"/>
          <w:sz w:val="21"/>
        </w:rPr>
        <w:t xml:space="preserve"> — the value-forward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solution.html</w:t>
      </w:r>
      <w:r>
        <w:rPr>
          <w:b w:val="0"/>
          <w:i w:val="0"/>
          <w:color w:val="172B4D"/>
          <w:sz w:val="21"/>
        </w:rPr>
        <w:t xml:space="preserve">, the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CAPABILITIES.md</w:t>
      </w:r>
      <w:r>
        <w:rPr>
          <w:b w:val="0"/>
          <w:i w:val="0"/>
          <w:color w:val="172B4D"/>
          <w:sz w:val="21"/>
        </w:rPr>
        <w:t xml:space="preserve"> catalogue ("what the harness produces"), and this design journal.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7. The documentation subsystem — one source, three views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Operators live in Word; the build team and operator sign-off need a workflow diagram; the runbook is a README. Writing those three by hand guarantees they drift apart. So:</w:t>
      </w:r>
    </w:p>
    <w:p>
      <w:pPr>
        <w:spacing w:after="120"/>
      </w:pPr>
      <w:r>
        <w:rPr>
          <w:b/>
          <w:i w:val="0"/>
          <w:color w:val="172B4D"/>
          <w:sz w:val="21"/>
        </w:rPr>
        <w:t>One reconciled `PROCESS_STEPS.md` is the single source of truth</w:t>
      </w:r>
      <w:r>
        <w:rPr>
          <w:b w:val="0"/>
          <w:i w:val="0"/>
          <w:color w:val="172B4D"/>
          <w:sz w:val="21"/>
        </w:rPr>
        <w:t xml:space="preserve">, and the README, the operator Word guide, and the draw.io diagram are all </w:t>
      </w:r>
      <w:r>
        <w:rPr>
          <w:b w:val="0"/>
          <w:i/>
          <w:color w:val="626F86"/>
          <w:sz w:val="21"/>
        </w:rPr>
        <w:t>rendered</w:t>
      </w:r>
      <w:r>
        <w:rPr>
          <w:b w:val="0"/>
          <w:i w:val="0"/>
          <w:color w:val="172B4D"/>
          <w:sz w:val="21"/>
        </w:rPr>
        <w:t xml:space="preserve"> from it.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The non-negotiable first step is </w:t>
      </w:r>
      <w:r>
        <w:rPr>
          <w:b/>
          <w:i w:val="0"/>
          <w:color w:val="172B4D"/>
          <w:sz w:val="21"/>
        </w:rPr>
        <w:t>reconciliation</w:t>
      </w:r>
      <w:r>
        <w:rPr>
          <w:b w:val="0"/>
          <w:i w:val="0"/>
          <w:color w:val="172B4D"/>
          <w:sz w:val="21"/>
        </w:rPr>
        <w:t xml:space="preserve">: the process narrative (a transcript, a steps file, a Teams message, or a discovery Word doc) is diffed </w:t>
      </w:r>
      <w:r>
        <w:rPr>
          <w:b/>
          <w:i w:val="0"/>
          <w:color w:val="172B4D"/>
          <w:sz w:val="21"/>
        </w:rPr>
        <w:t>against the actual shipped code</w:t>
      </w:r>
      <w:r>
        <w:rPr>
          <w:b w:val="0"/>
          <w:i w:val="0"/>
          <w:color w:val="172B4D"/>
          <w:sz w:val="21"/>
        </w:rPr>
        <w:t xml:space="preserve">, a divergence report is produced, a human resolves it, and only then does anything render. On the Duplicate Payment Detector this surfaced six genuine narrative-vs- code divergences (e.g. the priority signal reads the code's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Type</w:t>
      </w:r>
      <w:r>
        <w:rPr>
          <w:b w:val="0"/>
          <w:i w:val="0"/>
          <w:color w:val="172B4D"/>
          <w:sz w:val="21"/>
        </w:rPr>
        <w:t xml:space="preserve"> column, not the doc's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Exc Type</w:t>
      </w:r>
      <w:r>
        <w:rPr>
          <w:b w:val="0"/>
          <w:i w:val="0"/>
          <w:color w:val="172B4D"/>
          <w:sz w:val="21"/>
        </w:rPr>
        <w:t>; the release step the docstring called "not built" was in fact fully implemented). That reconciliation is what makes an operator sign-off trustworthy.</w:t>
      </w:r>
    </w:p>
    <w:p>
      <w:pPr>
        <w:spacing w:after="120"/>
      </w:pPr>
      <w:r>
        <w:rPr>
          <w:b/>
          <w:i w:val="0"/>
          <w:color w:val="172B4D"/>
          <w:sz w:val="21"/>
        </w:rPr>
        <w:t>A design lesson worth recording — the diagram layout.</w:t>
      </w:r>
      <w:r>
        <w:rPr>
          <w:b w:val="0"/>
          <w:i w:val="0"/>
          <w:color w:val="172B4D"/>
          <w:sz w:val="21"/>
        </w:rPr>
        <w:t xml:space="preserve"> The first draw.io renderer put every node on a single horizontal row. That was fine for a straight pipeline, but a decision that fans out to several mutually-exclusive outcomes drew its branch arrows sideways into adjacent boxes — overlapping arrows, labels landing on top of boxes. The fix was a small </w:t>
      </w:r>
      <w:r>
        <w:rPr>
          <w:b/>
          <w:i w:val="0"/>
          <w:color w:val="172B4D"/>
          <w:sz w:val="21"/>
        </w:rPr>
        <w:t>layered (rank-based) layout</w:t>
      </w:r>
      <w:r>
        <w:rPr>
          <w:b w:val="0"/>
          <w:i w:val="0"/>
          <w:color w:val="172B4D"/>
          <w:sz w:val="21"/>
        </w:rPr>
        <w:t xml:space="preserve">: rank each node by longest path from Start (so a decision's alternatives share a </w:t>
      </w:r>
      <w:r>
        <w:rPr>
          <w:b w:val="0"/>
          <w:i/>
          <w:color w:val="626F86"/>
          <w:sz w:val="21"/>
        </w:rPr>
        <w:t>column</w:t>
      </w:r>
      <w:r>
        <w:rPr>
          <w:b w:val="0"/>
          <w:i w:val="0"/>
          <w:color w:val="172B4D"/>
          <w:sz w:val="21"/>
        </w:rPr>
        <w:t xml:space="preserve">), then stack same-rank nodes on separate </w:t>
      </w:r>
      <w:r>
        <w:rPr>
          <w:b w:val="0"/>
          <w:i/>
          <w:color w:val="626F86"/>
          <w:sz w:val="21"/>
        </w:rPr>
        <w:t>rows</w:t>
      </w:r>
      <w:r>
        <w:rPr>
          <w:b w:val="0"/>
          <w:i w:val="0"/>
          <w:color w:val="172B4D"/>
          <w:sz w:val="21"/>
        </w:rPr>
        <w:t xml:space="preserve"> so decisions </w:t>
      </w:r>
      <w:r>
        <w:rPr>
          <w:b/>
          <w:i w:val="0"/>
          <w:color w:val="172B4D"/>
          <w:sz w:val="21"/>
        </w:rPr>
        <w:t>fan out vertically</w:t>
      </w:r>
      <w:r>
        <w:rPr>
          <w:b w:val="0"/>
          <w:i w:val="0"/>
          <w:color w:val="172B4D"/>
          <w:sz w:val="21"/>
        </w:rPr>
        <w:t xml:space="preserve"> (up and down) while the spine stays straight left→right. The lesson: the bug wasn't in one diagram, it was in the </w:t>
      </w:r>
      <w:r>
        <w:rPr>
          <w:b w:val="0"/>
          <w:i/>
          <w:color w:val="626F86"/>
          <w:sz w:val="21"/>
        </w:rPr>
        <w:t>rule</w:t>
      </w:r>
      <w:r>
        <w:rPr>
          <w:b w:val="0"/>
          <w:i w:val="0"/>
          <w:color w:val="172B4D"/>
          <w:sz w:val="21"/>
        </w:rPr>
        <w:t xml:space="preserve"> — fixing the rule fixes every diagram the skill will ever generate, and a no-overlap geometry test stops the regression coming back. This is the core argument for a deterministic renderer over hand-drawing.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8. Positioning: where the value actually is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A prior-art scan found </w:t>
      </w:r>
      <w:r>
        <w:rPr>
          <w:b/>
          <w:i w:val="0"/>
          <w:color w:val="172B4D"/>
          <w:sz w:val="21"/>
        </w:rPr>
        <w:t>no all-in-one competitor</w:t>
      </w:r>
      <w:r>
        <w:rPr>
          <w:b w:val="0"/>
          <w:i w:val="0"/>
          <w:color w:val="172B4D"/>
          <w:sz w:val="21"/>
        </w:rPr>
        <w:t>: the fusion of a finance back-office RPA skeleton + bundled AI skill files, copied per-repo, appears novel. But the individual pieces — Playwright, openpyxl, RPA templates — are commodity.</w:t>
      </w:r>
    </w:p>
    <w:p>
      <w:pPr>
        <w:spacing w:after="120"/>
      </w:pPr>
      <w:r>
        <w:rPr>
          <w:b/>
          <w:i w:val="0"/>
          <w:color w:val="172B4D"/>
          <w:sz w:val="21"/>
        </w:rPr>
        <w:t>So the durable advantage is not the plumbing. It is the conventions and finance-domain knowledge, captured as skills an AI assistant follows when generating each new automation.</w:t>
      </w:r>
      <w:r>
        <w:rPr>
          <w:b w:val="0"/>
          <w:i w:val="0"/>
          <w:color w:val="172B4D"/>
          <w:sz w:val="21"/>
        </w:rPr>
        <w:t xml:space="preserve"> That is where maintenance investment should go — the skills and the vetted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core/</w:t>
      </w:r>
      <w:r>
        <w:rPr>
          <w:b w:val="0"/>
          <w:i w:val="0"/>
          <w:color w:val="172B4D"/>
          <w:sz w:val="21"/>
        </w:rPr>
        <w:t xml:space="preserve"> — not into bespoke infrastructure.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This is why the solution document frames the asset for "AI &amp; Automation teams" broadly (whoever stands up such an initiative), leads with a </w:t>
      </w:r>
      <w:r>
        <w:rPr>
          <w:b w:val="0"/>
          <w:i/>
          <w:color w:val="626F86"/>
          <w:sz w:val="21"/>
        </w:rPr>
        <w:t>proven track record</w:t>
      </w:r>
      <w:r>
        <w:rPr>
          <w:b w:val="0"/>
          <w:i w:val="0"/>
          <w:color w:val="172B4D"/>
          <w:sz w:val="21"/>
        </w:rPr>
        <w:t xml:space="preserve"> rather than a concept pitch, and keeps the build-team saving (~35%) distinct from the operator-side outcome (faster FTE realisation).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It also frames each build's outputs as </w:t>
      </w:r>
      <w:r>
        <w:rPr>
          <w:b/>
          <w:i w:val="0"/>
          <w:color w:val="172B4D"/>
          <w:sz w:val="21"/>
        </w:rPr>
        <w:t>products</w:t>
      </w:r>
      <w:r>
        <w:rPr>
          <w:b w:val="0"/>
          <w:i w:val="0"/>
          <w:color w:val="172B4D"/>
          <w:sz w:val="21"/>
        </w:rPr>
        <w:t xml:space="preserve"> — the application, the sign-off audit trail, the Excel deliverable, the operator guide, the workflow diagram, the tests — each tagged with the skill that generates it, so the skills read as </w:t>
      </w:r>
      <w:r>
        <w:rPr>
          <w:b w:val="0"/>
          <w:i/>
          <w:color w:val="626F86"/>
          <w:sz w:val="21"/>
        </w:rPr>
        <w:t>value-generators</w:t>
      </w:r>
      <w:r>
        <w:rPr>
          <w:b w:val="0"/>
          <w:i w:val="0"/>
          <w:color w:val="172B4D"/>
          <w:sz w:val="21"/>
        </w:rPr>
        <w:t xml:space="preserve"> rather than a feature list. And its first page speaks in an </w:t>
      </w:r>
      <w:r>
        <w:rPr>
          <w:b/>
          <w:i w:val="0"/>
          <w:color w:val="172B4D"/>
          <w:sz w:val="21"/>
        </w:rPr>
        <w:t>executive register</w:t>
      </w:r>
      <w:r>
        <w:rPr>
          <w:b w:val="0"/>
          <w:i w:val="0"/>
          <w:color w:val="172B4D"/>
          <w:sz w:val="21"/>
        </w:rPr>
        <w:t xml:space="preserve"> (outcome + risk, no code identifiers); the developer detail lives on the pages that follow.</w:t>
      </w:r>
    </w:p>
    <w:p>
      <w:pPr>
        <w:spacing w:before="280" w:after="80"/>
        <w:pBdr>
          <w:bottom w:val="single" w:sz="6" w:space="1" w:color="DFE1E6"/>
        </w:pBdr>
      </w:pPr>
      <w:r>
        <w:rPr>
          <w:b/>
          <w:color w:val="172B4D"/>
          <w:sz w:val="32"/>
        </w:rPr>
        <w:t>9. What is proven vs. deferred</w:t>
      </w:r>
    </w:p>
    <w:p>
      <w:pPr>
        <w:spacing w:after="120"/>
      </w:pPr>
      <w:r>
        <w:rPr>
          <w:b/>
          <w:i w:val="0"/>
          <w:color w:val="172B4D"/>
          <w:sz w:val="21"/>
        </w:rPr>
        <w:t>Proven / done:</w:t>
      </w:r>
    </w:p>
    <w:p>
      <w:pPr>
        <w:pStyle w:val="ListBullet"/>
        <w:spacing w:after="20"/>
      </w:pP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core/{audit,excel,portals,secretstore,engine,docs}</w:t>
      </w:r>
      <w:r>
        <w:rPr>
          <w:b w:val="0"/>
          <w:i w:val="0"/>
          <w:color w:val="172B4D"/>
          <w:sz w:val="21"/>
        </w:rPr>
        <w:t xml:space="preserve"> +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recorder</w:t>
      </w:r>
      <w:r>
        <w:rPr>
          <w:b w:val="0"/>
          <w:i w:val="0"/>
          <w:color w:val="172B4D"/>
          <w:sz w:val="21"/>
        </w:rPr>
        <w:t xml:space="preserve"> — vendored, generic,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committed, pushed. audit/excel/engine/docs are pytest-verified (</w:t>
      </w:r>
      <w:r>
        <w:rPr>
          <w:b/>
          <w:i w:val="0"/>
          <w:color w:val="172B4D"/>
          <w:sz w:val="21"/>
        </w:rPr>
        <w:t>20 tests</w:t>
      </w:r>
      <w:r>
        <w:rPr>
          <w:b w:val="0"/>
          <w:i w:val="0"/>
          <w:color w:val="172B4D"/>
          <w:sz w:val="21"/>
        </w:rPr>
        <w:t>); portals/secretstore are compile- and genericity-verified (live browser/keychain is a Mac/CI step).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 xml:space="preserve">Six skills +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AUTHORING.md</w:t>
      </w:r>
      <w:r>
        <w:rPr>
          <w:b w:val="0"/>
          <w:i w:val="0"/>
          <w:color w:val="172B4D"/>
          <w:sz w:val="21"/>
        </w:rPr>
        <w:t xml:space="preserve">, all symbol-checked against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core/</w:t>
      </w:r>
      <w:r>
        <w:rPr>
          <w:b w:val="0"/>
          <w:i w:val="0"/>
          <w:color w:val="172B4D"/>
          <w:sz w:val="21"/>
        </w:rPr>
        <w:t>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>The documentation subsystem, validated end-to-end on the Duplicate Payment Detector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(README + operator Word + draw.io from one reconciled source).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 xml:space="preserve">Safe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.gitignore</w:t>
      </w:r>
      <w:r>
        <w:rPr>
          <w:b w:val="0"/>
          <w:i w:val="0"/>
          <w:color w:val="172B4D"/>
          <w:sz w:val="21"/>
        </w:rPr>
        <w:t xml:space="preserve">, cross-platform secretstore,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uv.lock</w:t>
      </w:r>
      <w:r>
        <w:rPr>
          <w:b w:val="0"/>
          <w:i w:val="0"/>
          <w:color w:val="172B4D"/>
          <w:sz w:val="21"/>
        </w:rPr>
        <w:t xml:space="preserve"> committed for reproducible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>operator installs.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Published as a GitHub template repo</w:t>
      </w:r>
      <w:r>
        <w:rPr>
          <w:b w:val="0"/>
          <w:i w:val="0"/>
          <w:color w:val="172B4D"/>
          <w:sz w:val="21"/>
        </w:rPr>
        <w:t xml:space="preserve"> (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314495_ai-ops-harness-swat</w:t>
      </w:r>
      <w:r>
        <w:rPr>
          <w:b w:val="0"/>
          <w:i w:val="0"/>
          <w:color w:val="172B4D"/>
          <w:sz w:val="21"/>
        </w:rPr>
        <w:t>) with the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two-README model + Step 0 promotion; dev boilerplate and the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arena</w:t>
      </w:r>
      <w:r>
        <w:rPr>
          <w:b w:val="0"/>
          <w:i w:val="0"/>
          <w:color w:val="172B4D"/>
          <w:sz w:val="21"/>
        </w:rPr>
        <w:t xml:space="preserve"> mirror kept in sync.</w:t>
      </w:r>
    </w:p>
    <w:p>
      <w:pPr>
        <w:pStyle w:val="ListBullet"/>
        <w:spacing w:after="20"/>
      </w:pPr>
      <w:r>
        <w:rPr>
          <w:b w:val="0"/>
          <w:i w:val="0"/>
          <w:color w:val="172B4D"/>
          <w:sz w:val="21"/>
        </w:rPr>
        <w:t xml:space="preserve">The documentation set under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docs/_harness/</w:t>
      </w:r>
      <w:r>
        <w:rPr>
          <w:b w:val="0"/>
          <w:i w:val="0"/>
          <w:color w:val="172B4D"/>
          <w:sz w:val="21"/>
        </w:rPr>
        <w:t xml:space="preserve">: the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solution.html</w:t>
      </w:r>
      <w:r>
        <w:rPr>
          <w:b w:val="0"/>
          <w:i w:val="0"/>
          <w:color w:val="172B4D"/>
          <w:sz w:val="21"/>
        </w:rPr>
        <w:t xml:space="preserve"> and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ai-ops-harness.html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solution docs, the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CAPABILITIES.md</w:t>
      </w:r>
      <w:r>
        <w:rPr>
          <w:b w:val="0"/>
          <w:i w:val="0"/>
          <w:color w:val="172B4D"/>
          <w:sz w:val="21"/>
        </w:rPr>
        <w:t xml:space="preserve"> catalogue, and this design journal (Markdown + a coupled HTML + a Confluence-style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.docx</w:t>
      </w:r>
      <w:r>
        <w:rPr>
          <w:b w:val="0"/>
          <w:i w:val="0"/>
          <w:color w:val="172B4D"/>
          <w:sz w:val="21"/>
        </w:rPr>
        <w:t>).</w:t>
      </w:r>
    </w:p>
    <w:p>
      <w:pPr>
        <w:spacing w:after="120"/>
      </w:pPr>
      <w:r>
        <w:rPr>
          <w:b/>
          <w:i w:val="0"/>
          <w:color w:val="172B4D"/>
          <w:sz w:val="21"/>
        </w:rPr>
        <w:t>Deferred (deliberately):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Worked-example automation + golden-file tie-out test</w:t>
      </w:r>
      <w:r>
        <w:rPr>
          <w:b w:val="0"/>
          <w:i w:val="0"/>
          <w:color w:val="172B4D"/>
          <w:sz w:val="21"/>
        </w:rPr>
        <w:t xml:space="preserve"> (P3) — a real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_report.py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using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core.excel.render()</w:t>
      </w:r>
      <w:r>
        <w:rPr>
          <w:b w:val="0"/>
          <w:i w:val="0"/>
          <w:color w:val="172B4D"/>
          <w:sz w:val="21"/>
        </w:rPr>
        <w:t xml:space="preserve"> plus a correctness-to-the-cent regression test, proving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uv run automate</w:t>
      </w:r>
      <w:r>
        <w:rPr>
          <w:b w:val="0"/>
          <w:i w:val="0"/>
          <w:color w:val="172B4D"/>
          <w:sz w:val="21"/>
        </w:rPr>
        <w:t xml:space="preserve"> end-to-end on a laptop. This is the most valuable remaining work.</w:t>
      </w:r>
    </w:p>
    <w:p>
      <w:pPr>
        <w:pStyle w:val="ListBullet"/>
        <w:spacing w:after="20"/>
      </w:pPr>
      <w:r>
        <w:rPr>
          <w:b/>
          <w:i w:val="0"/>
          <w:color w:val="172B4D"/>
          <w:sz w:val="21"/>
        </w:rPr>
        <w:t>`copier` templatisation</w:t>
      </w:r>
      <w:r>
        <w:rPr>
          <w:b w:val="0"/>
          <w:i w:val="0"/>
          <w:color w:val="172B4D"/>
          <w:sz w:val="21"/>
        </w:rPr>
        <w:t xml:space="preserve"> — adopt when several instances exist; its </w:t>
      </w:r>
      <w:r>
        <w:rPr>
          <w:rFonts w:ascii="Consolas" w:hAnsi="Consolas"/>
          <w:b w:val="0"/>
          <w:i w:val="0"/>
          <w:color w:val="40302A"/>
          <w:sz w:val="19"/>
          <w:shd w:val="clear" w:fill="F4F5F7"/>
        </w:rPr>
        <w:t>copier update</w:t>
      </w:r>
    </w:p>
    <w:p>
      <w:pPr>
        <w:spacing w:after="120"/>
      </w:pPr>
      <w:r>
        <w:rPr>
          <w:b w:val="0"/>
          <w:i w:val="0"/>
          <w:color w:val="172B4D"/>
          <w:sz w:val="21"/>
        </w:rPr>
        <w:t xml:space="preserve">propagates a core/skill fix into </w:t>
      </w:r>
      <w:r>
        <w:rPr>
          <w:b w:val="0"/>
          <w:i/>
          <w:color w:val="626F86"/>
          <w:sz w:val="21"/>
        </w:rPr>
        <w:t>already-created</w:t>
      </w:r>
      <w:r>
        <w:rPr>
          <w:b w:val="0"/>
          <w:i w:val="0"/>
          <w:color w:val="172B4D"/>
          <w:sz w:val="21"/>
        </w:rPr>
        <w:t xml:space="preserve"> repos, solving vendored-core drift at the scale where it starts to pay off. A plain copy is sufficient today.</w:t>
      </w:r>
    </w:p>
    <w:p>
      <w:pPr>
        <w:spacing w:after="120"/>
      </w:pPr>
      <w:r>
        <w:rPr>
          <w:b/>
          <w:i w:val="0"/>
          <w:color w:val="172B4D"/>
          <w:sz w:val="21"/>
        </w:rPr>
        <w:t>Known limitation carried forward:</w:t>
      </w:r>
      <w:r>
        <w:rPr>
          <w:b w:val="0"/>
          <w:i w:val="0"/>
          <w:color w:val="172B4D"/>
          <w:sz w:val="21"/>
        </w:rPr>
        <w:t xml:space="preserve"> vendored core drifts until copier lands; the leaked historical traces in the source repo remain (prevention, not remediation, was the chosen scope).</w:t>
      </w:r>
    </w:p>
    <w:p>
      <w:pPr>
        <w:spacing w:after="120"/>
      </w:pPr>
      <w:r>
        <w:rPr>
          <w:b w:val="0"/>
          <w:i/>
          <w:color w:val="626F86"/>
          <w:sz w:val="21"/>
        </w:rPr>
        <w:t>Prepared as a living design record for the AI-Ops Automation Harness. It reflects the state of the `feature/ai-ops-boilerplate` branch and the reasoning behind it — including the decisions that were reversed, because those are part of the thought process.</w:t>
      </w:r>
      <w:r>
        <w:rPr>
          <w:b w:val="0"/>
          <w:i w:val="0"/>
          <w:color w:val="172B4D"/>
          <w:sz w:val="21"/>
        </w:rPr>
        <w:t xml:space="preserve"> </w:t>
      </w:r>
      <w:r>
        <w:rPr>
          <w:b w:val="0"/>
          <w:i/>
          <w:color w:val="626F86"/>
          <w:sz w:val="21"/>
        </w:rPr>
        <w:t>— Mrin Shrivastava · SWAT team</w:t>
      </w:r>
    </w:p>
    <w:sectPr w:rsidR="00FC693F" w:rsidRPr="0006063C" w:rsidSect="00034616">
      <w:pgSz w:w="12240" w:h="15840"/>
      <w:pgMar w:top="1150" w:right="1150" w:bottom="1150" w:left="11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