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F4E8C"/>
          <w:sz w:val="56"/>
          <w:szCs w:val="56"/>
        </w:rPr>
        <w:t xml:space="preserve">ClearFreight</w:t>
      </w:r>
    </w:p>
    <w:p>
      <w:pPr>
        <w:spacing w:after="200" w:before="0"/>
      </w:pPr>
      <w:r>
        <w:rPr>
          <w:rFonts w:ascii="Arial" w:cs="Arial" w:eastAsia="Arial" w:hAnsi="Arial"/>
          <w:i/>
          <w:iCs/>
          <w:color w:val="555555"/>
          <w:sz w:val="28"/>
          <w:szCs w:val="28"/>
        </w:rPr>
        <w:t xml:space="preserve">Vérification automatique des factures de fret maritime</w:t>
      </w:r>
    </w:p>
    <w:p>
      <w:pPr>
        <w:pBdr>
          <w:bottom w:val="single" w:color="1F4E8C" w:sz="6" w:space="1"/>
        </w:pBdr>
        <w:spacing w:after="120" w:before="120"/>
      </w:pPr>
      <w:r>
        <w:t xml:space="preserve"/>
      </w:r>
    </w:p>
    <w:p>
      <w:pPr>
        <w:spacing w:after="300" w:before="60"/>
      </w:pPr>
      <w:r>
        <w:rPr>
          <w:rFonts w:ascii="Arial" w:cs="Arial" w:eastAsia="Arial" w:hAnsi="Arial"/>
          <w:color w:val="888888"/>
          <w:sz w:val="20"/>
          <w:szCs w:val="20"/>
        </w:rPr>
        <w:t xml:space="preserve">Fiche produit — Architecture technique &amp; sources</w:t>
      </w:r>
    </w:p>
    <w:p>
      <w:pPr>
        <w:pStyle w:val="Heading1"/>
        <w:spacing w:after="120" w:before="360"/>
      </w:pPr>
      <w:r>
        <w:rPr>
          <w:rFonts w:ascii="Arial" w:cs="Arial" w:eastAsia="Arial" w:hAnsi="Arial"/>
          <w:b/>
          <w:bCs/>
          <w:color w:val="1F4E8C"/>
          <w:sz w:val="32"/>
          <w:szCs w:val="32"/>
        </w:rPr>
        <w:t xml:space="preserve">1. Le problème</w:t>
      </w:r>
    </w:p>
    <w:p>
      <w:pPr>
        <w:spacing w:after="60" w:before="60"/>
      </w:pPr>
      <w:r>
        <w:rPr>
          <w:rFonts w:ascii="Arial" w:cs="Arial" w:eastAsia="Arial" w:hAnsi="Arial"/>
          <w:sz w:val="22"/>
          <w:szCs w:val="22"/>
        </w:rPr>
        <w:t xml:space="preserve">Les factures de transport maritime sont parmi les documents commerciaux les plus opaques et les plus complexes. Un importateur ou un transitaire reçoit chaque mois des dizaines de factures issues de transporteurs comme MSC, CMA-CGM ou Maersk, chacune structurée différemment, bourrée de surcharges aux noms cryptiques.</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1.1 Des erreurs systématiques et coûteuses</w:t>
      </w:r>
    </w:p>
    <w:p>
      <w:pPr>
        <w:spacing w:after="60" w:before="60"/>
      </w:pPr>
      <w:r>
        <w:rPr>
          <w:rFonts w:ascii="Arial" w:cs="Arial" w:eastAsia="Arial" w:hAnsi="Arial"/>
          <w:sz w:val="22"/>
          <w:szCs w:val="22"/>
        </w:rPr>
        <w:t xml:space="preserve">Les études sectorielles convergent sur des chiffres alarmants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F4E8C"/>
                <w:sz w:val="36"/>
                <w:szCs w:val="36"/>
              </w:rPr>
              <w:t xml:space="preserve">5 – 8 %</w:t>
            </w:r>
          </w:p>
          <w:p>
            <w:pPr>
              <w:jc w:val="center"/>
            </w:pPr>
            <w:r>
              <w:rPr>
                <w:rFonts w:ascii="Arial" w:cs="Arial" w:eastAsia="Arial" w:hAnsi="Arial"/>
                <w:color w:val="555555"/>
                <w:sz w:val="18"/>
                <w:szCs w:val="18"/>
              </w:rPr>
              <w:t xml:space="preserve">des factures contiennent des erreurs (programmes manuels)</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F4E8C"/>
                <w:sz w:val="36"/>
                <w:szCs w:val="36"/>
              </w:rPr>
              <w:t xml:space="preserve">3 – 5 %</w:t>
            </w:r>
          </w:p>
          <w:p>
            <w:pPr>
              <w:jc w:val="center"/>
            </w:pPr>
            <w:r>
              <w:rPr>
                <w:rFonts w:ascii="Arial" w:cs="Arial" w:eastAsia="Arial" w:hAnsi="Arial"/>
                <w:color w:val="555555"/>
                <w:sz w:val="18"/>
                <w:szCs w:val="18"/>
              </w:rPr>
              <w:t xml:space="preserve">du budget fret perdu en erreurs non détectées</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F4E8C"/>
                <w:sz w:val="36"/>
                <w:szCs w:val="36"/>
              </w:rPr>
              <w:t xml:space="preserve">15,4 Mds $</w:t>
            </w:r>
          </w:p>
          <w:p>
            <w:pPr>
              <w:jc w:val="center"/>
            </w:pPr>
            <w:r>
              <w:rPr>
                <w:rFonts w:ascii="Arial" w:cs="Arial" w:eastAsia="Arial" w:hAnsi="Arial"/>
                <w:color w:val="555555"/>
                <w:sz w:val="18"/>
                <w:szCs w:val="18"/>
              </w:rPr>
              <w:t xml:space="preserve">en frais D&amp;D collectés par 9 armateurs (2020–2025)</w:t>
            </w:r>
          </w:p>
        </w:tc>
      </w:tr>
    </w:tbl>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Taux d'erreur : </w:t>
      </w:r>
      <w:r>
        <w:rPr>
          <w:rFonts w:ascii="Arial" w:cs="Arial" w:eastAsia="Arial" w:hAnsi="Arial"/>
          <w:sz w:val="22"/>
          <w:szCs w:val="22"/>
        </w:rPr>
        <w:t xml:space="preserve">5 à 8 % des factures fret contiennent des erreurs dans les programmes sans audit automatisé, un taux qui tombe à 1–2 % avec un TMS.</w:t>
      </w:r>
    </w:p>
    <w:p>
      <w:pPr>
        <w:pStyle w:val="ListParagraph"/>
        <w:numPr>
          <w:ilvl w:val="0"/>
          <w:numId w:val="2"/>
        </w:numPr>
        <w:spacing w:after="40" w:before="40"/>
      </w:pPr>
      <w:r>
        <w:rPr>
          <w:rFonts w:ascii="Arial" w:cs="Arial" w:eastAsia="Arial" w:hAnsi="Arial"/>
          <w:b/>
          <w:bCs/>
          <w:sz w:val="22"/>
          <w:szCs w:val="22"/>
        </w:rPr>
        <w:t xml:space="preserve">Impact financier : </w:t>
      </w:r>
      <w:r>
        <w:rPr>
          <w:rFonts w:ascii="Arial" w:cs="Arial" w:eastAsia="Arial" w:hAnsi="Arial"/>
          <w:sz w:val="22"/>
          <w:szCs w:val="22"/>
        </w:rPr>
        <w:t xml:space="preserve">3 à 5 % du budget fret annuel total est perdu en erreurs non détectées. Sur un programme de 5 M€, cela représente 150 000 à 250 000 € par an.</w:t>
      </w:r>
    </w:p>
    <w:p>
      <w:pPr>
        <w:pStyle w:val="ListParagraph"/>
        <w:numPr>
          <w:ilvl w:val="0"/>
          <w:numId w:val="2"/>
        </w:numPr>
        <w:spacing w:after="40" w:before="40"/>
      </w:pPr>
      <w:r>
        <w:rPr>
          <w:rFonts w:ascii="Arial" w:cs="Arial" w:eastAsia="Arial" w:hAnsi="Arial"/>
          <w:b/>
          <w:bCs/>
          <w:sz w:val="22"/>
          <w:szCs w:val="22"/>
        </w:rPr>
        <w:t xml:space="preserve">Coût opérationnel : </w:t>
      </w:r>
      <w:r>
        <w:rPr>
          <w:rFonts w:ascii="Arial" w:cs="Arial" w:eastAsia="Arial" w:hAnsi="Arial"/>
          <w:sz w:val="22"/>
          <w:szCs w:val="22"/>
        </w:rPr>
        <w:t xml:space="preserve">22 % des factures nécessitent une intervention manuelle selon le rapport Ardent Partners 2025, avec un coût moyen de 53,50 $ par erreur à corriger (IOFM 2025).</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1.2 Anatomie des erreurs</w:t>
      </w:r>
    </w:p>
    <w:p>
      <w:pPr>
        <w:pStyle w:val="ListParagraph"/>
        <w:numPr>
          <w:ilvl w:val="0"/>
          <w:numId w:val="2"/>
        </w:numPr>
        <w:spacing w:after="40" w:before="40"/>
      </w:pPr>
      <w:r>
        <w:rPr>
          <w:rFonts w:ascii="Arial" w:cs="Arial" w:eastAsia="Arial" w:hAnsi="Arial"/>
          <w:sz w:val="22"/>
          <w:szCs w:val="22"/>
        </w:rPr>
        <w:t xml:space="preserve">~40 % : surcharges accessoires mal appliquées (BAF, CAF, PSS incorrects)</w:t>
      </w:r>
    </w:p>
    <w:p>
      <w:pPr>
        <w:pStyle w:val="ListParagraph"/>
        <w:numPr>
          <w:ilvl w:val="0"/>
          <w:numId w:val="2"/>
        </w:numPr>
        <w:spacing w:after="40" w:before="40"/>
      </w:pPr>
      <w:r>
        <w:rPr>
          <w:rFonts w:ascii="Arial" w:cs="Arial" w:eastAsia="Arial" w:hAnsi="Arial"/>
          <w:sz w:val="22"/>
          <w:szCs w:val="22"/>
        </w:rPr>
        <w:t xml:space="preserve">~25 % : taux contractuels non respectés</w:t>
      </w:r>
    </w:p>
    <w:p>
      <w:pPr>
        <w:pStyle w:val="ListParagraph"/>
        <w:numPr>
          <w:ilvl w:val="0"/>
          <w:numId w:val="2"/>
        </w:numPr>
        <w:spacing w:after="40" w:before="40"/>
      </w:pPr>
      <w:r>
        <w:rPr>
          <w:rFonts w:ascii="Arial" w:cs="Arial" w:eastAsia="Arial" w:hAnsi="Arial"/>
          <w:sz w:val="22"/>
          <w:szCs w:val="22"/>
        </w:rPr>
        <w:t xml:space="preserve">15–20 % : doublons de facturation</w:t>
      </w:r>
    </w:p>
    <w:p>
      <w:pPr>
        <w:pStyle w:val="ListParagraph"/>
        <w:numPr>
          <w:ilvl w:val="0"/>
          <w:numId w:val="2"/>
        </w:numPr>
        <w:spacing w:after="40" w:before="40"/>
      </w:pPr>
      <w:r>
        <w:rPr>
          <w:rFonts w:ascii="Arial" w:cs="Arial" w:eastAsia="Arial" w:hAnsi="Arial"/>
          <w:sz w:val="22"/>
          <w:szCs w:val="22"/>
        </w:rPr>
        <w:t xml:space="preserve">Le reste : erreurs de poids, dimensions, codes de classification</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1.3 Les surestaries : un angle mort particulièrement dangereux</w:t>
      </w:r>
    </w:p>
    <w:p>
      <w:pPr>
        <w:spacing w:after="60" w:before="60"/>
      </w:pPr>
      <w:r>
        <w:rPr>
          <w:rFonts w:ascii="Arial" w:cs="Arial" w:eastAsia="Arial" w:hAnsi="Arial"/>
          <w:sz w:val="22"/>
          <w:szCs w:val="22"/>
        </w:rPr>
        <w:t xml:space="preserve">Les frais de surestaries (Demurrage &amp; Detention) sont des pénalités facturées quand un conteneur reste trop longtemps au terminal portuaire ou en dehors du port au-delà des jours francs alloués. Ces frais :</w:t>
      </w:r>
    </w:p>
    <w:p>
      <w:pPr>
        <w:pStyle w:val="ListParagraph"/>
        <w:numPr>
          <w:ilvl w:val="0"/>
          <w:numId w:val="2"/>
        </w:numPr>
        <w:spacing w:after="40" w:before="40"/>
      </w:pPr>
      <w:r>
        <w:rPr>
          <w:rFonts w:ascii="Arial" w:cs="Arial" w:eastAsia="Arial" w:hAnsi="Arial"/>
          <w:sz w:val="22"/>
          <w:szCs w:val="22"/>
        </w:rPr>
        <w:t xml:space="preserve">s'accumulent à 75–300 $/jour/conteneur selon le port et l'armateur</w:t>
      </w:r>
    </w:p>
    <w:p>
      <w:pPr>
        <w:pStyle w:val="ListParagraph"/>
        <w:numPr>
          <w:ilvl w:val="0"/>
          <w:numId w:val="2"/>
        </w:numPr>
        <w:spacing w:after="40" w:before="40"/>
      </w:pPr>
      <w:r>
        <w:rPr>
          <w:rFonts w:ascii="Arial" w:cs="Arial" w:eastAsia="Arial" w:hAnsi="Arial"/>
          <w:sz w:val="22"/>
          <w:szCs w:val="22"/>
        </w:rPr>
        <w:t xml:space="preserve">sont souvent contestables (jours non ouvrés non déduits, jours francs non appliqués)</w:t>
      </w:r>
    </w:p>
    <w:p>
      <w:pPr>
        <w:pStyle w:val="ListParagraph"/>
        <w:numPr>
          <w:ilvl w:val="0"/>
          <w:numId w:val="2"/>
        </w:numPr>
        <w:spacing w:after="40" w:before="40"/>
      </w:pPr>
      <w:r>
        <w:rPr>
          <w:rFonts w:ascii="Arial" w:cs="Arial" w:eastAsia="Arial" w:hAnsi="Arial"/>
          <w:sz w:val="22"/>
          <w:szCs w:val="22"/>
        </w:rPr>
        <w:t xml:space="preserve">ont représenté 15,4 milliards de dollars collectés par 9 armateurs entre 2020 et 2025 (source : Federal Maritime Commission)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sz w:val="22"/>
                <w:szCs w:val="22"/>
              </w:rPr>
              <w:t xml:space="preserve">Source officielle : La Federal Maritime Commission (régulateur américain du transport maritime) suit trimestriellement les frais D&amp;D collectés par les 9 principaux armateurs. Donnée disponible sur fmc.gov/detention-and-demurrage.</w:t>
            </w:r>
          </w:p>
        </w:tc>
      </w:tr>
    </w:tbl>
    <w:p>
      <w:pPr>
        <w:spacing w:after="80" w:before="80"/>
      </w:pPr>
      <w:r>
        <w:t xml:space="preserve"/>
      </w:r>
    </w:p>
    <w:p>
      <w:pPr>
        <w:pBdr>
          <w:bottom w:val="single" w:color="1F4E8C" w:sz="6" w:space="1"/>
        </w:pBdr>
        <w:spacing w:after="120" w:before="120"/>
      </w:pPr>
      <w:r>
        <w:t xml:space="preserve"/>
      </w:r>
    </w:p>
    <w:p>
      <w:r>
        <w:br w:type="page"/>
      </w:r>
    </w:p>
    <w:p>
      <w:pPr>
        <w:pStyle w:val="Heading1"/>
        <w:spacing w:after="120" w:before="360"/>
      </w:pPr>
      <w:r>
        <w:rPr>
          <w:rFonts w:ascii="Arial" w:cs="Arial" w:eastAsia="Arial" w:hAnsi="Arial"/>
          <w:b/>
          <w:bCs/>
          <w:color w:val="1F4E8C"/>
          <w:sz w:val="32"/>
          <w:szCs w:val="32"/>
        </w:rPr>
        <w:t xml:space="preserve">2. ClearFreight — La solution</w:t>
      </w:r>
    </w:p>
    <w:p>
      <w:pPr>
        <w:spacing w:after="60" w:before="60"/>
      </w:pPr>
      <w:r>
        <w:rPr>
          <w:rFonts w:ascii="Arial" w:cs="Arial" w:eastAsia="Arial" w:hAnsi="Arial"/>
          <w:sz w:val="22"/>
          <w:szCs w:val="22"/>
        </w:rPr>
        <w:t xml:space="preserve">ClearFreight est une application SaaS qui automatise la vérification des factures de fret maritime avant paiement. Elle détecte les anomalies, quantifie les surfacturations et génère un rapport d'audit actionnable en quelques secondes.</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2.1 Le pipeline de traitement</w:t>
      </w:r>
    </w:p>
    <w:p>
      <w:pPr>
        <w:spacing w:after="60" w:before="60"/>
      </w:pPr>
      <w:r>
        <w:rPr>
          <w:rFonts w:ascii="Arial" w:cs="Arial" w:eastAsia="Arial" w:hAnsi="Arial"/>
          <w:sz w:val="22"/>
          <w:szCs w:val="22"/>
        </w:rPr>
        <w:t xml:space="preserve">Chaque facture reçue passe par 3 couches de vérification successives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sz w:val="22"/>
                <w:szCs w:val="22"/>
              </w:rPr>
              <w:t xml:space="preserve">Étape 1 — PARSING  |  Réception du PDF → OCR → extraction structurée par LLM (Claude API) → JSON validé par regex  →  Dictionnaire de mapping par transporteur (MSC, CMA-CGM, Maersk, Hapag-Lloyd…)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sz w:val="22"/>
                <w:szCs w:val="22"/>
              </w:rPr>
              <w:t xml:space="preserve">Étape 2 — VÉRIFICATION  |  Contrôle du fret de base vs index FBX  →  Recalcul des surcharges (BAF, CAF, PSS) par formule transporteur  →  Contrôle des taxes et frais portuaires (THC, B/L fee…)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60"/>
              <w:bottom w:type="dxa" w:w="120"/>
              <w:right w:type="dxa" w:w="160"/>
            </w:tcMar>
          </w:tcPr>
          <w:p>
            <w:r>
              <w:rPr>
                <w:rFonts w:ascii="Arial" w:cs="Arial" w:eastAsia="Arial" w:hAnsi="Arial"/>
                <w:sz w:val="22"/>
                <w:szCs w:val="22"/>
              </w:rPr>
              <w:t xml:space="preserve">Étape 3 — SURESTARIES  |  Scraping des portails terminaux portuaires  →  Calcul des jours francs réels  →  Comparaison avec montant facturé  →  Identification des jours contestables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sz w:val="22"/>
                <w:szCs w:val="22"/>
              </w:rPr>
              <w:t xml:space="preserve">→  RAPPORT D'ANOMALIES  |  Liste des écarts avec montant récupérable, niveau de confiance, et source de référence utilisée</w:t>
            </w:r>
          </w:p>
        </w:tc>
      </w:tr>
    </w:tbl>
    <w:p>
      <w:pPr>
        <w:spacing w:after="80" w:before="80"/>
      </w:pPr>
      <w:r>
        <w:t xml:space="preserve"/>
      </w:r>
    </w:p>
    <w:p>
      <w:pPr>
        <w:pStyle w:val="Heading2"/>
        <w:spacing w:after="100" w:before="280"/>
      </w:pPr>
      <w:r>
        <w:rPr>
          <w:rFonts w:ascii="Arial" w:cs="Arial" w:eastAsia="Arial" w:hAnsi="Arial"/>
          <w:b/>
          <w:bCs/>
          <w:color w:val="1F4E8C"/>
          <w:sz w:val="26"/>
          <w:szCs w:val="26"/>
        </w:rPr>
        <w:t xml:space="preserve">2.2 Exemple concret — Facture MSC</w:t>
      </w:r>
    </w:p>
    <w:p>
      <w:pPr>
        <w:spacing w:after="60" w:before="60"/>
      </w:pPr>
      <w:r>
        <w:rPr>
          <w:rFonts w:ascii="Arial" w:cs="Arial" w:eastAsia="Arial" w:hAnsi="Arial"/>
          <w:sz w:val="22"/>
          <w:szCs w:val="22"/>
        </w:rPr>
        <w:t xml:space="preserve">Conteneur 40' HC · Route Shanghai → Le Havre · Arrivée 12 juin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c>
          <w:tcPr>
            <w:tcW w:type="dxa" w:w="3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sz w:val="20"/>
                <w:szCs w:val="20"/>
              </w:rPr>
              <w:t xml:space="preserve">Ligne de facturation</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sz w:val="20"/>
                <w:szCs w:val="20"/>
              </w:rPr>
              <w:t xml:space="preserve">Montant facturé</w:t>
            </w:r>
          </w:p>
        </w:tc>
        <w:tc>
          <w:tcPr>
            <w:tcW w:type="dxa" w:w="1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sz w:val="20"/>
                <w:szCs w:val="20"/>
              </w:rPr>
              <w:t xml:space="preserve">Statut</w:t>
            </w:r>
          </w:p>
        </w:tc>
        <w:tc>
          <w:tcPr>
            <w:tcW w:type="dxa" w:w="2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sz w:val="20"/>
                <w:szCs w:val="20"/>
              </w:rPr>
              <w:t xml:space="preserve">Remarque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Fret de 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2 400 $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Conforme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Dans la fourchette FBX</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BAF (surcharge carburant)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780 $</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Anomalie</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+42 % vs formule transporteur — Écart : +330 $</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THC (manutention 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Conforme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Tarif standard Le Havre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Surestaries (8 j × 75 $/j)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 Anomalie</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3 jours francs non déduits — Écart : −225 $</w:t>
            </w:r>
          </w:p>
        </w:tc>
      </w:tr>
      <w:tr>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TOTAL FACTURÉ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3 975 $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Économie potentielle : 555 $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r>
              <w:rPr>
                <w:rFonts w:ascii="Arial" w:cs="Arial" w:eastAsia="Arial" w:hAnsi="Arial"/>
                <w:sz w:val="22"/>
                <w:szCs w:val="22"/>
              </w:rPr>
              <w:t xml:space="preserve">Résultat : 2 anomalies détectées automatiquement. Économie potentielle : 555 $ (BAF surévalué +330 $ + surestaries mal calculées −225 $). Temps de traitement : &lt; 30 secondes.</w:t>
            </w:r>
          </w:p>
        </w:tc>
      </w:tr>
    </w:tbl>
    <w:p>
      <w:pPr>
        <w:spacing w:after="80" w:before="80"/>
      </w:pPr>
      <w:r>
        <w:t xml:space="preserve"/>
      </w:r>
    </w:p>
    <w:p>
      <w:pPr>
        <w:pBdr>
          <w:bottom w:val="single" w:color="1F4E8C" w:sz="6" w:space="1"/>
        </w:pBdr>
        <w:spacing w:after="120" w:before="120"/>
      </w:pPr>
      <w:r>
        <w:t xml:space="preserve"/>
      </w:r>
    </w:p>
    <w:p>
      <w:pPr>
        <w:pStyle w:val="Heading1"/>
        <w:spacing w:after="120" w:before="360"/>
      </w:pPr>
      <w:r>
        <w:rPr>
          <w:rFonts w:ascii="Arial" w:cs="Arial" w:eastAsia="Arial" w:hAnsi="Arial"/>
          <w:b/>
          <w:bCs/>
          <w:color w:val="1F4E8C"/>
          <w:sz w:val="32"/>
          <w:szCs w:val="32"/>
        </w:rPr>
        <w:t xml:space="preserve">3. Architecture technique</w:t>
      </w:r>
    </w:p>
    <w:p>
      <w:pPr>
        <w:spacing w:after="60" w:before="60"/>
      </w:pPr>
      <w:r>
        <w:rPr>
          <w:rFonts w:ascii="Arial" w:cs="Arial" w:eastAsia="Arial" w:hAnsi="Arial"/>
          <w:sz w:val="22"/>
          <w:szCs w:val="22"/>
        </w:rPr>
        <w:t xml:space="preserve">L'architecture repose sur 3 couches fonctionnelles distinctes, chacune adressant un défi technique spécifique.</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3.1 Couche 1 — Parsing</w:t>
      </w:r>
    </w:p>
    <w:p>
      <w:pPr>
        <w:spacing w:after="80" w:before="200"/>
      </w:pPr>
      <w:r>
        <w:rPr>
          <w:rFonts w:ascii="Arial" w:cs="Arial" w:eastAsia="Arial" w:hAnsi="Arial"/>
          <w:b/>
          <w:bCs/>
          <w:color w:val="333333"/>
          <w:sz w:val="22"/>
          <w:szCs w:val="22"/>
        </w:rPr>
        <w:t xml:space="preserve">Ce que ça fait</w:t>
      </w:r>
    </w:p>
    <w:p>
      <w:pPr>
        <w:spacing w:after="60" w:before="60"/>
      </w:pPr>
      <w:r>
        <w:rPr>
          <w:rFonts w:ascii="Arial" w:cs="Arial" w:eastAsia="Arial" w:hAnsi="Arial"/>
          <w:sz w:val="22"/>
          <w:szCs w:val="22"/>
        </w:rPr>
        <w:t xml:space="preserve">Transforme un PDF de facture (souvent mal scanné, sans structure cohérente) en JSON exploitable, avec chaque ligne de facturation identifiée et normalisée.</w:t>
      </w:r>
    </w:p>
    <w:p>
      <w:pPr>
        <w:spacing w:after="80" w:before="200"/>
      </w:pPr>
      <w:r>
        <w:rPr>
          <w:rFonts w:ascii="Arial" w:cs="Arial" w:eastAsia="Arial" w:hAnsi="Arial"/>
          <w:b/>
          <w:bCs/>
          <w:color w:val="333333"/>
          <w:sz w:val="22"/>
          <w:szCs w:val="22"/>
        </w:rPr>
        <w:t xml:space="preserve">Défis techniques</w:t>
      </w:r>
    </w:p>
    <w:p>
      <w:pPr>
        <w:pStyle w:val="ListParagraph"/>
        <w:numPr>
          <w:ilvl w:val="0"/>
          <w:numId w:val="2"/>
        </w:numPr>
        <w:spacing w:after="40" w:before="40"/>
      </w:pPr>
      <w:r>
        <w:rPr>
          <w:rFonts w:ascii="Arial" w:cs="Arial" w:eastAsia="Arial" w:hAnsi="Arial"/>
          <w:sz w:val="22"/>
          <w:szCs w:val="22"/>
        </w:rPr>
        <w:t xml:space="preserve">L'OCR + LLM fonctionne bien sur la structure globale, mais le LLM peut halluciner sur les montants numériques → une validation par regex après extraction est non-négociable.</w:t>
      </w:r>
    </w:p>
    <w:p>
      <w:pPr>
        <w:pStyle w:val="ListParagraph"/>
        <w:numPr>
          <w:ilvl w:val="0"/>
          <w:numId w:val="2"/>
        </w:numPr>
        <w:spacing w:after="40" w:before="40"/>
      </w:pPr>
      <w:r>
        <w:rPr>
          <w:rFonts w:ascii="Arial" w:cs="Arial" w:eastAsia="Arial" w:hAnsi="Arial"/>
          <w:sz w:val="22"/>
          <w:szCs w:val="22"/>
        </w:rPr>
        <w:t xml:space="preserve">Chaque transporteur a ses propres codes de surcharges (ex : « ECA » chez Maersk = « LSS » chez MSC = même chose). Le dictionnaire de mapping est un actif éditorial à maintenir manuellement — ce n'est pas du ML, c'est du travail documentaire continu.</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3.2 Couche 2 — Vérification</w:t>
      </w:r>
    </w:p>
    <w:p>
      <w:pPr>
        <w:spacing w:after="80" w:before="200"/>
      </w:pPr>
      <w:r>
        <w:rPr>
          <w:rFonts w:ascii="Arial" w:cs="Arial" w:eastAsia="Arial" w:hAnsi="Arial"/>
          <w:b/>
          <w:bCs/>
          <w:color w:val="333333"/>
          <w:sz w:val="22"/>
          <w:szCs w:val="22"/>
        </w:rPr>
        <w:t xml:space="preserve">Ce que ça fait</w:t>
      </w:r>
    </w:p>
    <w:p>
      <w:pPr>
        <w:spacing w:after="60" w:before="60"/>
      </w:pPr>
      <w:r>
        <w:rPr>
          <w:rFonts w:ascii="Arial" w:cs="Arial" w:eastAsia="Arial" w:hAnsi="Arial"/>
          <w:sz w:val="22"/>
          <w:szCs w:val="22"/>
        </w:rPr>
        <w:t xml:space="preserve">Applique des règles de vérification par type de charge : fret de base, surcharges réglementées, taxes portuaires. Chaque ligne est comparée à une valeur de référence.</w:t>
      </w:r>
    </w:p>
    <w:p>
      <w:pPr>
        <w:spacing w:after="80" w:before="200"/>
      </w:pPr>
      <w:r>
        <w:rPr>
          <w:rFonts w:ascii="Arial" w:cs="Arial" w:eastAsia="Arial" w:hAnsi="Arial"/>
          <w:b/>
          <w:bCs/>
          <w:color w:val="333333"/>
          <w:sz w:val="22"/>
          <w:szCs w:val="22"/>
        </w:rPr>
        <w:t xml:space="preserve">Défis techniques</w:t>
      </w:r>
    </w:p>
    <w:p>
      <w:pPr>
        <w:pStyle w:val="ListParagraph"/>
        <w:numPr>
          <w:ilvl w:val="0"/>
          <w:numId w:val="2"/>
        </w:numPr>
        <w:spacing w:after="40" w:before="40"/>
      </w:pPr>
      <w:r>
        <w:rPr>
          <w:rFonts w:ascii="Arial" w:cs="Arial" w:eastAsia="Arial" w:hAnsi="Arial"/>
          <w:sz w:val="22"/>
          <w:szCs w:val="22"/>
        </w:rPr>
        <w:t xml:space="preserve">Pour le fret de base, les index publics (Freightos Baltic Index — FBX) donnent une fourchette large. On peut détecter une anomalie à +40 %, mais pas à +12 %. La précision de détection dépend de la qualité des données de marché.</w:t>
      </w:r>
    </w:p>
    <w:p>
      <w:pPr>
        <w:pStyle w:val="ListParagraph"/>
        <w:numPr>
          <w:ilvl w:val="0"/>
          <w:numId w:val="2"/>
        </w:numPr>
        <w:spacing w:after="40" w:before="40"/>
      </w:pPr>
      <w:r>
        <w:rPr>
          <w:rFonts w:ascii="Arial" w:cs="Arial" w:eastAsia="Arial" w:hAnsi="Arial"/>
          <w:sz w:val="22"/>
          <w:szCs w:val="22"/>
        </w:rPr>
        <w:t xml:space="preserve">Pour le BAF (surcharge carburant), la formule de calcul varie par transporteur et n'est pas publiée officiellement. Elle doit être rétro-ingénierée à partir des factures clients accumulées — un travail de data engineering progressif.</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3.3 Couche 3 — Surestaries</w:t>
      </w:r>
    </w:p>
    <w:p>
      <w:pPr>
        <w:spacing w:after="80" w:before="200"/>
      </w:pPr>
      <w:r>
        <w:rPr>
          <w:rFonts w:ascii="Arial" w:cs="Arial" w:eastAsia="Arial" w:hAnsi="Arial"/>
          <w:b/>
          <w:bCs/>
          <w:color w:val="333333"/>
          <w:sz w:val="22"/>
          <w:szCs w:val="22"/>
        </w:rPr>
        <w:t xml:space="preserve">Ce que ça fait</w:t>
      </w:r>
    </w:p>
    <w:p>
      <w:pPr>
        <w:spacing w:after="60" w:before="60"/>
      </w:pPr>
      <w:r>
        <w:rPr>
          <w:rFonts w:ascii="Arial" w:cs="Arial" w:eastAsia="Arial" w:hAnsi="Arial"/>
          <w:sz w:val="22"/>
          <w:szCs w:val="22"/>
        </w:rPr>
        <w:t xml:space="preserve">Reconstitue la chronologie réelle du conteneur (arrivée au terminal, disponibilité, enlèvement) et compare avec les jours francs contractuels pour valider ou contester le montant facturé.</w:t>
      </w:r>
    </w:p>
    <w:p>
      <w:pPr>
        <w:spacing w:after="80" w:before="200"/>
      </w:pPr>
      <w:r>
        <w:rPr>
          <w:rFonts w:ascii="Arial" w:cs="Arial" w:eastAsia="Arial" w:hAnsi="Arial"/>
          <w:b/>
          <w:bCs/>
          <w:color w:val="333333"/>
          <w:sz w:val="22"/>
          <w:szCs w:val="22"/>
        </w:rPr>
        <w:t xml:space="preserve">Défis techniques</w:t>
      </w:r>
    </w:p>
    <w:p>
      <w:pPr>
        <w:pStyle w:val="ListParagraph"/>
        <w:numPr>
          <w:ilvl w:val="0"/>
          <w:numId w:val="2"/>
        </w:numPr>
        <w:spacing w:after="40" w:before="40"/>
      </w:pPr>
      <w:r>
        <w:rPr>
          <w:rFonts w:ascii="Arial" w:cs="Arial" w:eastAsia="Arial" w:hAnsi="Arial"/>
          <w:sz w:val="22"/>
          <w:szCs w:val="22"/>
        </w:rPr>
        <w:t xml:space="preserve">Le scraping des portails terminaux portuaires casse régulièrement. C'est la couche la plus fragile — elle nécessite une maintenance continue.</w:t>
      </w:r>
    </w:p>
    <w:p>
      <w:pPr>
        <w:pStyle w:val="ListParagraph"/>
        <w:numPr>
          <w:ilvl w:val="0"/>
          <w:numId w:val="2"/>
        </w:numPr>
        <w:spacing w:after="40" w:before="40"/>
      </w:pPr>
      <w:r>
        <w:rPr>
          <w:rFonts w:ascii="Arial" w:cs="Arial" w:eastAsia="Arial" w:hAnsi="Arial"/>
          <w:sz w:val="22"/>
          <w:szCs w:val="22"/>
        </w:rPr>
        <w:t xml:space="preserve">Solution robuste à terme : demander aux clients de transférer les emails de notification de leur compagnie maritime directement dans ClearFreight. Cela supprime la dépendance au scraping et améliore la fiabilité des données.</w:t>
      </w:r>
    </w:p>
    <w:p>
      <w:pPr>
        <w:spacing w:after="80" w:before="80"/>
      </w:pPr>
      <w:r>
        <w:t xml:space="preserve"/>
      </w:r>
    </w:p>
    <w:p>
      <w:pPr>
        <w:pStyle w:val="Heading2"/>
        <w:spacing w:after="100" w:before="280"/>
      </w:pPr>
      <w:r>
        <w:rPr>
          <w:rFonts w:ascii="Arial" w:cs="Arial" w:eastAsia="Arial" w:hAnsi="Arial"/>
          <w:b/>
          <w:bCs/>
          <w:color w:val="1F4E8C"/>
          <w:sz w:val="26"/>
          <w:szCs w:val="26"/>
        </w:rPr>
        <w:t xml:space="preserve">3.4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8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Technologie &amp; 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 — API REST principale, orchestration du pipeline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 stockage factures, règles, historique d'anomalies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 Jobs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 jobs de tracking asynchrones (scraping terminaux, alertes)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 interface de revue des anomalies et validation des rapports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 Parsing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(Anthropic) — extraction structurée des factures PDF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Tesseract / AWS Textract — lecture des PDFs scannés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scrapers — portails terminaux portuaires (Le Havre, Marseille…)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r>
              <w:rPr>
                <w:rFonts w:ascii="Arial" w:cs="Arial" w:eastAsia="Arial" w:hAnsi="Arial"/>
                <w:sz w:val="22"/>
                <w:szCs w:val="22"/>
              </w:rPr>
              <w:t xml:space="preserve">Planning estimé : MVP en 10 à 14 semaines avec 2 développeurs seniors. Stack volontairement non-exotique pour faciliter le recrutement et la maintenabilité.</w:t>
            </w:r>
          </w:p>
        </w:tc>
      </w:tr>
    </w:tbl>
    <w:p>
      <w:pPr>
        <w:spacing w:after="80" w:before="80"/>
      </w:pPr>
      <w:r>
        <w:t xml:space="preserve"/>
      </w:r>
    </w:p>
    <w:p>
      <w:pPr>
        <w:pBdr>
          <w:bottom w:val="single" w:color="1F4E8C" w:sz="6" w:space="1"/>
        </w:pBdr>
        <w:spacing w:after="120" w:before="120"/>
      </w:pPr>
      <w:r>
        <w:t xml:space="preserve"/>
      </w:r>
    </w:p>
    <w:p>
      <w:r>
        <w:br w:type="page"/>
      </w:r>
    </w:p>
    <w:p>
      <w:pPr>
        <w:pStyle w:val="Heading1"/>
        <w:spacing w:after="120" w:before="360"/>
      </w:pPr>
      <w:r>
        <w:rPr>
          <w:rFonts w:ascii="Arial" w:cs="Arial" w:eastAsia="Arial" w:hAnsi="Arial"/>
          <w:b/>
          <w:bCs/>
          <w:color w:val="1F4E8C"/>
          <w:sz w:val="32"/>
          <w:szCs w:val="32"/>
        </w:rPr>
        <w:t xml:space="preserve">4. Sources &amp; références</w:t>
      </w:r>
    </w:p>
    <w:p>
      <w:pPr>
        <w:spacing w:after="60" w:before="60"/>
      </w:pPr>
      <w:r>
        <w:rPr>
          <w:rFonts w:ascii="Arial" w:cs="Arial" w:eastAsia="Arial" w:hAnsi="Arial"/>
          <w:sz w:val="22"/>
          <w:szCs w:val="22"/>
        </w:rPr>
        <w:t xml:space="preserve">Toutes les statistiques citées dans ce document proviennent de sources vérifiables. Voici les références principales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c>
          <w:tcPr>
            <w:tcW w:type="dxa" w:w="2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Donnée clé</w:t>
            </w:r>
          </w:p>
        </w:tc>
        <w:tc>
          <w:tcPr>
            <w:tcW w:type="dxa" w:w="20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Lien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Federal Maritime Commission (FMC)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Régulateur américain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15,4 Mds $ de D&amp;D collectés (2020–2025)</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fmc.gov/detention-and-demurrage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Ardent Partners / IOFM 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Rapport sectoriel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22 % des factures avec erreurs, 53,50 $/erreur</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via zdscs.com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Nuvocargo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Opérateur logistique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5–8 % d'erreurs, 3–5 % du budget fret perdu</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nuvocargo.com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ICC Logistics / Jim Tompkins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Expert industrie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5–40 % des factures incorrectes selon les cas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icclogistics.com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ShippingRates.org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Guide sectoriel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 Mds $/an de frais D&amp;D dans le monde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shippingrates.org</w:t>
            </w:r>
          </w:p>
        </w:tc>
      </w:tr>
    </w:tbl>
    <w:p>
      <w:pPr>
        <w:spacing w:after="80" w:before="80"/>
      </w:pPr>
      <w:r>
        <w:t xml:space="preserve"/>
      </w:r>
    </w:p>
    <w:p>
      <w:pPr>
        <w:spacing w:after="60" w:before="60"/>
      </w:pPr>
      <w:r>
        <w:rPr>
          <w:rFonts w:ascii="Arial" w:cs="Arial" w:eastAsia="Arial" w:hAnsi="Arial"/>
          <w:sz w:val="22"/>
          <w:szCs w:val="22"/>
        </w:rPr>
        <w:t xml:space="preserve">Note : les chiffres sur les erreurs de facturation (5–8 %) concernent l'ensemble du fret (maritime, aérien, routier). Les études spécifiques au fret maritime sont moins nombreuses, mais les praticiens sectoriels (ICC Logistics, Nuvocargo) confirment des taux similaires voire supérieurs en raison de la complexité des surcharges maritimes.</w:t>
      </w:r>
    </w:p>
    <w:p>
      <w:pPr>
        <w:spacing w:after="80" w:before="80"/>
      </w:pPr>
      <w:r>
        <w:t xml:space="preserve"/>
      </w:r>
    </w:p>
    <w:p>
      <w:pPr>
        <w:pBdr>
          <w:bottom w:val="single" w:color="1F4E8C" w:sz="6" w:space="1"/>
        </w:pBdr>
        <w:spacing w:after="120" w:before="120"/>
      </w:pPr>
      <w:r>
        <w:t xml:space="preserve"/>
      </w:r>
    </w:p>
    <w:p>
      <w:pPr>
        <w:spacing w:before="200"/>
        <w:jc w:val="center"/>
      </w:pPr>
      <w:r>
        <w:rPr>
          <w:rFonts w:ascii="Arial" w:cs="Arial" w:eastAsia="Arial" w:hAnsi="Arial"/>
          <w:color w:val="AAAAAA"/>
          <w:sz w:val="18"/>
          <w:szCs w:val="18"/>
        </w:rPr>
        <w:t xml:space="preserve">ClearFreight — Document confidentiel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2026-06-16T20:43:42.783Z</dcterms:created>
  <dcterms:modified xsi:type="dcterms:W3CDTF">2026-06-16T20:43:42.783Z</dcterms:modified>
</cp:coreProperties>
</file>

<file path=docProps/custom.xml><?xml version="1.0" encoding="utf-8"?>
<Properties xmlns="http://schemas.openxmlformats.org/officeDocument/2006/custom-properties" xmlns:vt="http://schemas.openxmlformats.org/officeDocument/2006/docPropsVTypes"/>
</file>