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4DA2226B"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357491">
        <w:rPr>
          <w:rFonts w:ascii="Times New Roman" w:eastAsia="Calibri" w:hAnsi="Times New Roman" w:cs="Times New Roman"/>
          <w:b/>
          <w:color w:val="000000"/>
          <w:kern w:val="0"/>
          <w14:ligatures w14:val="none"/>
        </w:rPr>
        <w:t>Four</w:t>
      </w:r>
      <w:r w:rsidR="005857AA" w:rsidRPr="005857AA">
        <w:rPr>
          <w:rFonts w:ascii="Times New Roman" w:eastAsia="Calibri" w:hAnsi="Times New Roman" w:cs="Times New Roman"/>
          <w:b/>
          <w:color w:val="000000"/>
          <w:kern w:val="0"/>
          <w14:ligatures w14:val="none"/>
        </w:rPr>
        <w:t xml:space="preserve"> </w:t>
      </w:r>
      <w:r w:rsidR="00CC3E8B">
        <w:rPr>
          <w:rFonts w:ascii="Times New Roman" w:eastAsia="Calibri" w:hAnsi="Times New Roman" w:cs="Times New Roman"/>
          <w:b/>
          <w:color w:val="000000"/>
          <w:kern w:val="0"/>
          <w14:ligatures w14:val="none"/>
        </w:rPr>
        <w:t>Assignment</w:t>
      </w:r>
      <w:r w:rsidR="005857AA" w:rsidRPr="005857AA">
        <w:rPr>
          <w:rFonts w:ascii="Times New Roman" w:eastAsia="Calibri" w:hAnsi="Times New Roman" w:cs="Times New Roman"/>
          <w:b/>
          <w:color w:val="000000"/>
          <w:kern w:val="0"/>
          <w14:ligatures w14:val="none"/>
        </w:rPr>
        <w:t xml:space="preserve">: </w:t>
      </w:r>
      <w:r w:rsidR="00357491">
        <w:rPr>
          <w:rFonts w:ascii="Times New Roman" w:eastAsia="Calibri" w:hAnsi="Times New Roman" w:cs="Times New Roman"/>
          <w:b/>
          <w:color w:val="000000"/>
          <w:kern w:val="0"/>
          <w14:ligatures w14:val="none"/>
        </w:rPr>
        <w:t>Comparing Visualizations for Impact</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1FAA22E9" w:rsidR="00E71893" w:rsidRDefault="00357491"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December 04</w:t>
      </w:r>
      <w:r w:rsidR="00E71893">
        <w:rPr>
          <w:rFonts w:ascii="Times New Roman" w:eastAsia="Calibri" w:hAnsi="Times New Roman" w:cs="Times New Roman"/>
          <w:color w:val="000000"/>
          <w:kern w:val="0"/>
          <w14:ligatures w14:val="none"/>
        </w:rPr>
        <w:t>, 2025</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0C163065"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357491">
        <w:rPr>
          <w:rFonts w:ascii="Times New Roman" w:eastAsia="Calibri" w:hAnsi="Times New Roman" w:cs="Times New Roman"/>
          <w:b/>
          <w:bCs/>
          <w:color w:val="000000"/>
          <w:kern w:val="0"/>
          <w14:ligatures w14:val="none"/>
        </w:rPr>
        <w:t>Four</w:t>
      </w:r>
      <w:r w:rsidR="00CC3E8B">
        <w:rPr>
          <w:rFonts w:ascii="Times New Roman" w:eastAsia="Calibri" w:hAnsi="Times New Roman" w:cs="Times New Roman"/>
          <w:b/>
          <w:bCs/>
          <w:color w:val="000000"/>
          <w:kern w:val="0"/>
          <w14:ligatures w14:val="none"/>
        </w:rPr>
        <w:t xml:space="preserve"> Assignment</w:t>
      </w:r>
      <w:r w:rsidRPr="00E71893">
        <w:rPr>
          <w:rFonts w:ascii="Times New Roman" w:eastAsia="Calibri" w:hAnsi="Times New Roman" w:cs="Times New Roman"/>
          <w:b/>
          <w:bCs/>
          <w:color w:val="000000"/>
          <w:kern w:val="0"/>
          <w14:ligatures w14:val="none"/>
        </w:rPr>
        <w:t xml:space="preserve">: </w:t>
      </w:r>
      <w:r w:rsidR="00357491">
        <w:rPr>
          <w:rFonts w:ascii="Times New Roman" w:eastAsia="Calibri" w:hAnsi="Times New Roman" w:cs="Times New Roman"/>
          <w:b/>
          <w:bCs/>
          <w:color w:val="000000"/>
          <w:kern w:val="0"/>
          <w14:ligatures w14:val="none"/>
        </w:rPr>
        <w:t>Comparing Visualizations for Impact</w:t>
      </w:r>
    </w:p>
    <w:p w14:paraId="6E9FA66B" w14:textId="4E8176DE" w:rsidR="00454A26" w:rsidRDefault="005D32FC"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5D32FC">
        <w:rPr>
          <w:rFonts w:ascii="Times New Roman" w:eastAsia="Calibri" w:hAnsi="Times New Roman" w:cs="Times New Roman"/>
          <w:b/>
          <w:bCs/>
          <w:color w:val="000000"/>
          <w:kern w:val="0"/>
          <w:szCs w:val="22"/>
          <w:shd w:val="clear" w:color="auto" w:fill="FFFFFF"/>
          <w14:ligatures w14:val="none"/>
        </w:rPr>
        <w:t>Represent the Data</w:t>
      </w:r>
    </w:p>
    <w:p w14:paraId="5018C5C1" w14:textId="77777777" w:rsidR="0037086F" w:rsidRPr="0037086F"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A striking part of working with these three visualizations is how each one frames the same funding dataset in a fundamentally different way, shaping the viewer’s interpretation before any formal analysis begins. The technical visualization (</w:t>
      </w:r>
      <w:r w:rsidRPr="0037086F">
        <w:rPr>
          <w:rFonts w:ascii="Times New Roman" w:eastAsia="Calibri" w:hAnsi="Times New Roman" w:cs="Times New Roman"/>
          <w:b/>
          <w:bCs/>
          <w:color w:val="000000"/>
          <w:kern w:val="0"/>
          <w:szCs w:val="22"/>
          <w:shd w:val="clear" w:color="auto" w:fill="FFFFFF"/>
          <w14:ligatures w14:val="none"/>
        </w:rPr>
        <w:t>Figure 1</w:t>
      </w:r>
      <w:r w:rsidRPr="0037086F">
        <w:rPr>
          <w:rFonts w:ascii="Times New Roman" w:eastAsia="Calibri" w:hAnsi="Times New Roman" w:cs="Times New Roman"/>
          <w:color w:val="000000"/>
          <w:kern w:val="0"/>
          <w:szCs w:val="22"/>
          <w:shd w:val="clear" w:color="auto" w:fill="FFFFFF"/>
          <w14:ligatures w14:val="none"/>
        </w:rPr>
        <w:t>) uses a multi-line time-series chart to display three decades of state appropriations. This representation emphasizes movement and long-term change across multiple states, allowing analysts to compare trajectories and identify periods of growth or decline.</w:t>
      </w:r>
    </w:p>
    <w:p w14:paraId="61676DE1" w14:textId="77777777" w:rsidR="0037086F" w:rsidRPr="0037086F"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The simple visualization (</w:t>
      </w:r>
      <w:r w:rsidRPr="0037086F">
        <w:rPr>
          <w:rFonts w:ascii="Times New Roman" w:eastAsia="Calibri" w:hAnsi="Times New Roman" w:cs="Times New Roman"/>
          <w:b/>
          <w:bCs/>
          <w:color w:val="000000"/>
          <w:kern w:val="0"/>
          <w:szCs w:val="22"/>
          <w:shd w:val="clear" w:color="auto" w:fill="FFFFFF"/>
          <w14:ligatures w14:val="none"/>
        </w:rPr>
        <w:t>Figure 2</w:t>
      </w:r>
      <w:r w:rsidRPr="0037086F">
        <w:rPr>
          <w:rFonts w:ascii="Times New Roman" w:eastAsia="Calibri" w:hAnsi="Times New Roman" w:cs="Times New Roman"/>
          <w:color w:val="000000"/>
          <w:kern w:val="0"/>
          <w:szCs w:val="22"/>
          <w:shd w:val="clear" w:color="auto" w:fill="FFFFFF"/>
          <w14:ligatures w14:val="none"/>
        </w:rPr>
        <w:t>) shifts focus to a single moment in time, presenting 2020–21 funding levels through a categorical bar chart. This creates a clear snapshot of how each state compares to others and to the national average.</w:t>
      </w:r>
    </w:p>
    <w:p w14:paraId="452BAA25" w14:textId="2F317F61" w:rsidR="005D32FC" w:rsidRPr="00FB4E8E"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The story visualization (</w:t>
      </w:r>
      <w:r w:rsidRPr="0037086F">
        <w:rPr>
          <w:rFonts w:ascii="Times New Roman" w:eastAsia="Calibri" w:hAnsi="Times New Roman" w:cs="Times New Roman"/>
          <w:b/>
          <w:bCs/>
          <w:color w:val="000000"/>
          <w:kern w:val="0"/>
          <w:szCs w:val="22"/>
          <w:shd w:val="clear" w:color="auto" w:fill="FFFFFF"/>
          <w14:ligatures w14:val="none"/>
        </w:rPr>
        <w:t>Figure 3</w:t>
      </w:r>
      <w:r w:rsidRPr="0037086F">
        <w:rPr>
          <w:rFonts w:ascii="Times New Roman" w:eastAsia="Calibri" w:hAnsi="Times New Roman" w:cs="Times New Roman"/>
          <w:color w:val="000000"/>
          <w:kern w:val="0"/>
          <w:szCs w:val="22"/>
          <w:shd w:val="clear" w:color="auto" w:fill="FFFFFF"/>
          <w14:ligatures w14:val="none"/>
        </w:rPr>
        <w:t>) distills the entire dataset into a single metric: percent change from 1990–91 to 2020–21, using horizontal bars to highlight the direction and magnitude of long-term investment shifts. Although the underlying numbers are identical across charts, each visualization tells a distinct story through the lens it chooses to emphasize</w:t>
      </w:r>
      <w:r w:rsidR="00E37FCC">
        <w:rPr>
          <w:rFonts w:ascii="Times New Roman" w:eastAsia="Calibri" w:hAnsi="Times New Roman" w:cs="Times New Roman"/>
          <w:color w:val="000000"/>
          <w:kern w:val="0"/>
          <w:szCs w:val="22"/>
          <w:shd w:val="clear" w:color="auto" w:fill="FFFFFF"/>
          <w14:ligatures w14:val="none"/>
        </w:rPr>
        <w:t>.</w:t>
      </w:r>
    </w:p>
    <w:p w14:paraId="77726380" w14:textId="705BF194" w:rsidR="00454A26" w:rsidRDefault="005D32FC"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5D32FC">
        <w:rPr>
          <w:rFonts w:ascii="Times New Roman" w:eastAsia="Calibri" w:hAnsi="Times New Roman" w:cs="Times New Roman"/>
          <w:b/>
          <w:bCs/>
          <w:color w:val="000000"/>
          <w:kern w:val="0"/>
          <w:szCs w:val="22"/>
          <w:shd w:val="clear" w:color="auto" w:fill="FFFFFF"/>
          <w14:ligatures w14:val="none"/>
        </w:rPr>
        <w:t>Key Characteristics</w:t>
      </w:r>
    </w:p>
    <w:p w14:paraId="1B5BF708" w14:textId="237FE26F" w:rsidR="0037086F" w:rsidRPr="0037086F"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 xml:space="preserve">The defining characteristics of each visualization </w:t>
      </w:r>
      <w:r w:rsidR="008354C4">
        <w:rPr>
          <w:rFonts w:ascii="Times New Roman" w:eastAsia="Calibri" w:hAnsi="Times New Roman" w:cs="Times New Roman"/>
          <w:color w:val="000000"/>
          <w:kern w:val="0"/>
          <w:szCs w:val="22"/>
          <w:shd w:val="clear" w:color="auto" w:fill="FFFFFF"/>
          <w14:ligatures w14:val="none"/>
        </w:rPr>
        <w:t>directly shape how the audience interprets the data, with the line chart (Figure 1) highlighting temporal trends but risking visual overload for non-technical viewers.</w:t>
      </w:r>
    </w:p>
    <w:p w14:paraId="3220BB75" w14:textId="77777777" w:rsidR="0037086F" w:rsidRPr="0037086F"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The simple visualization (</w:t>
      </w:r>
      <w:r w:rsidRPr="0037086F">
        <w:rPr>
          <w:rFonts w:ascii="Times New Roman" w:eastAsia="Calibri" w:hAnsi="Times New Roman" w:cs="Times New Roman"/>
          <w:b/>
          <w:bCs/>
          <w:color w:val="000000"/>
          <w:kern w:val="0"/>
          <w:szCs w:val="22"/>
          <w:shd w:val="clear" w:color="auto" w:fill="FFFFFF"/>
          <w14:ligatures w14:val="none"/>
        </w:rPr>
        <w:t>Figure 2</w:t>
      </w:r>
      <w:r w:rsidRPr="0037086F">
        <w:rPr>
          <w:rFonts w:ascii="Times New Roman" w:eastAsia="Calibri" w:hAnsi="Times New Roman" w:cs="Times New Roman"/>
          <w:color w:val="000000"/>
          <w:kern w:val="0"/>
          <w:szCs w:val="22"/>
          <w:shd w:val="clear" w:color="auto" w:fill="FFFFFF"/>
          <w14:ligatures w14:val="none"/>
        </w:rPr>
        <w:t xml:space="preserve">) uses a vertical bar chart to provide a clean, straightforward comparison of each state’s 2020–21 appropriations. Bar charts are often recommended for categorical comparisons because they allow immediate estimation of relative </w:t>
      </w:r>
      <w:r w:rsidRPr="0037086F">
        <w:rPr>
          <w:rFonts w:ascii="Times New Roman" w:eastAsia="Calibri" w:hAnsi="Times New Roman" w:cs="Times New Roman"/>
          <w:color w:val="000000"/>
          <w:kern w:val="0"/>
          <w:szCs w:val="22"/>
          <w:shd w:val="clear" w:color="auto" w:fill="FFFFFF"/>
          <w14:ligatures w14:val="none"/>
        </w:rPr>
        <w:lastRenderedPageBreak/>
        <w:t>differences (Data Visualization Catalogue, n.d.). Its labeling is clear, and the national-average reference line introduces contextual meaning without complicating the layout.</w:t>
      </w:r>
    </w:p>
    <w:p w14:paraId="2AF55FC2" w14:textId="1E93C40B" w:rsidR="005D32FC" w:rsidRPr="00FB4E8E"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The story visualization (</w:t>
      </w:r>
      <w:r w:rsidRPr="0037086F">
        <w:rPr>
          <w:rFonts w:ascii="Times New Roman" w:eastAsia="Calibri" w:hAnsi="Times New Roman" w:cs="Times New Roman"/>
          <w:b/>
          <w:bCs/>
          <w:color w:val="000000"/>
          <w:kern w:val="0"/>
          <w:szCs w:val="22"/>
          <w:shd w:val="clear" w:color="auto" w:fill="FFFFFF"/>
          <w14:ligatures w14:val="none"/>
        </w:rPr>
        <w:t>Figure 3</w:t>
      </w:r>
      <w:r w:rsidRPr="0037086F">
        <w:rPr>
          <w:rFonts w:ascii="Times New Roman" w:eastAsia="Calibri" w:hAnsi="Times New Roman" w:cs="Times New Roman"/>
          <w:color w:val="000000"/>
          <w:kern w:val="0"/>
          <w:szCs w:val="22"/>
          <w:shd w:val="clear" w:color="auto" w:fill="FFFFFF"/>
          <w14:ligatures w14:val="none"/>
        </w:rPr>
        <w:t xml:space="preserve">) </w:t>
      </w:r>
      <w:r w:rsidR="008354C4">
        <w:rPr>
          <w:rFonts w:ascii="Times New Roman" w:eastAsia="Calibri" w:hAnsi="Times New Roman" w:cs="Times New Roman"/>
          <w:color w:val="000000"/>
          <w:kern w:val="0"/>
          <w:szCs w:val="22"/>
          <w:shd w:val="clear" w:color="auto" w:fill="FFFFFF"/>
          <w14:ligatures w14:val="none"/>
        </w:rPr>
        <w:t xml:space="preserve">uses a horizontal bar chart, which is </w:t>
      </w:r>
      <w:r w:rsidRPr="0037086F">
        <w:rPr>
          <w:rFonts w:ascii="Times New Roman" w:eastAsia="Calibri" w:hAnsi="Times New Roman" w:cs="Times New Roman"/>
          <w:color w:val="000000"/>
          <w:kern w:val="0"/>
          <w:szCs w:val="22"/>
          <w:shd w:val="clear" w:color="auto" w:fill="FFFFFF"/>
          <w14:ligatures w14:val="none"/>
        </w:rPr>
        <w:t>ideal for displaying ranked categories and longer labels. Atlassian’s data visualization guide notes that horizontal bars are particularly effective when the emphasis is on comparing magnitudes across categories of uneven label lengths (Atlassian, n.d.). This visualization clearly communicates percent changes by ordering states to highlight increases and decreases across the decades</w:t>
      </w:r>
      <w:r w:rsidR="005D32FC">
        <w:rPr>
          <w:rFonts w:ascii="Times New Roman" w:eastAsia="Calibri" w:hAnsi="Times New Roman" w:cs="Times New Roman"/>
          <w:color w:val="000000"/>
          <w:kern w:val="0"/>
          <w:szCs w:val="22"/>
          <w:shd w:val="clear" w:color="auto" w:fill="FFFFFF"/>
          <w14:ligatures w14:val="none"/>
        </w:rPr>
        <w:t>.</w:t>
      </w:r>
    </w:p>
    <w:p w14:paraId="11C51C24" w14:textId="0CA5DFD1" w:rsidR="00454A26" w:rsidRDefault="005D32FC"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5D32FC">
        <w:rPr>
          <w:rFonts w:ascii="Times New Roman" w:eastAsia="Calibri" w:hAnsi="Times New Roman" w:cs="Times New Roman"/>
          <w:b/>
          <w:bCs/>
          <w:color w:val="000000"/>
          <w:kern w:val="0"/>
          <w:szCs w:val="22"/>
          <w:shd w:val="clear" w:color="auto" w:fill="FFFFFF"/>
          <w14:ligatures w14:val="none"/>
        </w:rPr>
        <w:t>Compare the Visualizations</w:t>
      </w:r>
    </w:p>
    <w:p w14:paraId="2AF15D05" w14:textId="77777777" w:rsidR="0037086F" w:rsidRPr="0037086F"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The effectiveness of these three visualizations depends heavily on their clarity and alignment with the data’s structure. The technical visualization (</w:t>
      </w:r>
      <w:r w:rsidRPr="0037086F">
        <w:rPr>
          <w:rFonts w:ascii="Times New Roman" w:eastAsia="Calibri" w:hAnsi="Times New Roman" w:cs="Times New Roman"/>
          <w:b/>
          <w:bCs/>
          <w:color w:val="000000"/>
          <w:kern w:val="0"/>
          <w:szCs w:val="22"/>
          <w:shd w:val="clear" w:color="auto" w:fill="FFFFFF"/>
          <w14:ligatures w14:val="none"/>
        </w:rPr>
        <w:t>Figure 1</w:t>
      </w:r>
      <w:r w:rsidRPr="0037086F">
        <w:rPr>
          <w:rFonts w:ascii="Times New Roman" w:eastAsia="Calibri" w:hAnsi="Times New Roman" w:cs="Times New Roman"/>
          <w:color w:val="000000"/>
          <w:kern w:val="0"/>
          <w:szCs w:val="22"/>
          <w:shd w:val="clear" w:color="auto" w:fill="FFFFFF"/>
          <w14:ligatures w14:val="none"/>
        </w:rPr>
        <w:t>) excels at showcasing trends, making it well-aligned with time-series data. It reveals patterns that neither of the other two charts can show, such as the persistence of funding gaps between states or the impact of economic recessions. However, its clarity suffers for non-technical audiences due to line overlap and the cognitive load required to compare multiple trajectories.</w:t>
      </w:r>
    </w:p>
    <w:p w14:paraId="088A64D5" w14:textId="5401AF0D" w:rsidR="0037086F" w:rsidRPr="0037086F" w:rsidRDefault="008354C4"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Pr>
          <w:rFonts w:ascii="Times New Roman" w:eastAsia="Calibri" w:hAnsi="Times New Roman" w:cs="Times New Roman"/>
          <w:color w:val="000000"/>
          <w:kern w:val="0"/>
          <w:szCs w:val="22"/>
          <w:shd w:val="clear" w:color="auto" w:fill="FFFFFF"/>
          <w14:ligatures w14:val="none"/>
        </w:rPr>
        <w:t>Because it isolates a single year and avoids unnecessary complexity, the simple visualization (Figure 2) offers the highest clarity of the three, helping viewers feel confident and assured in their interpretation. Aligning categorical funding values with a bar chart, a format familiar to nearly everyone, gives viewers confidence in their understanding</w:t>
      </w:r>
      <w:r w:rsidR="0037086F" w:rsidRPr="0037086F">
        <w:rPr>
          <w:rFonts w:ascii="Times New Roman" w:eastAsia="Calibri" w:hAnsi="Times New Roman" w:cs="Times New Roman"/>
          <w:color w:val="000000"/>
          <w:kern w:val="0"/>
          <w:szCs w:val="22"/>
          <w:shd w:val="clear" w:color="auto" w:fill="FFFFFF"/>
          <w14:ligatures w14:val="none"/>
        </w:rPr>
        <w:t xml:space="preserve"> without forcing them to process long-term trends.</w:t>
      </w:r>
    </w:p>
    <w:p w14:paraId="1A960F08" w14:textId="1CC6F5F3" w:rsidR="005D32FC" w:rsidRPr="00FB4E8E"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The story visualization (</w:t>
      </w:r>
      <w:r w:rsidRPr="0037086F">
        <w:rPr>
          <w:rFonts w:ascii="Times New Roman" w:eastAsia="Calibri" w:hAnsi="Times New Roman" w:cs="Times New Roman"/>
          <w:b/>
          <w:bCs/>
          <w:color w:val="000000"/>
          <w:kern w:val="0"/>
          <w:szCs w:val="22"/>
          <w:shd w:val="clear" w:color="auto" w:fill="FFFFFF"/>
          <w14:ligatures w14:val="none"/>
        </w:rPr>
        <w:t>Figure 3</w:t>
      </w:r>
      <w:r w:rsidRPr="0037086F">
        <w:rPr>
          <w:rFonts w:ascii="Times New Roman" w:eastAsia="Calibri" w:hAnsi="Times New Roman" w:cs="Times New Roman"/>
          <w:color w:val="000000"/>
          <w:kern w:val="0"/>
          <w:szCs w:val="22"/>
          <w:shd w:val="clear" w:color="auto" w:fill="FFFFFF"/>
          <w14:ligatures w14:val="none"/>
        </w:rPr>
        <w:t>) aligns cleanly with derived percent-change data, condensing decades of information into a single, highly interpretable metric. Dutton (2023) emphasizes that clarity often emerges when a visualization answers a single, direct question, and this chart does precisely that by revealing long-term growth patterns at a glance</w:t>
      </w:r>
      <w:r w:rsidR="005D32FC">
        <w:rPr>
          <w:rFonts w:ascii="Times New Roman" w:eastAsia="Calibri" w:hAnsi="Times New Roman" w:cs="Times New Roman"/>
          <w:color w:val="000000"/>
          <w:kern w:val="0"/>
          <w:szCs w:val="22"/>
          <w:shd w:val="clear" w:color="auto" w:fill="FFFFFF"/>
          <w14:ligatures w14:val="none"/>
        </w:rPr>
        <w:t>.</w:t>
      </w:r>
    </w:p>
    <w:p w14:paraId="0C642E92" w14:textId="77777777" w:rsidR="005D32FC" w:rsidRDefault="005D32FC" w:rsidP="005D32FC">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5D32FC">
        <w:rPr>
          <w:rFonts w:ascii="Times New Roman" w:eastAsia="Calibri" w:hAnsi="Times New Roman" w:cs="Times New Roman"/>
          <w:b/>
          <w:bCs/>
          <w:color w:val="000000"/>
          <w:kern w:val="0"/>
          <w:szCs w:val="22"/>
          <w:shd w:val="clear" w:color="auto" w:fill="FFFFFF"/>
          <w14:ligatures w14:val="none"/>
        </w:rPr>
        <w:lastRenderedPageBreak/>
        <w:t>Appropriateness</w:t>
      </w:r>
    </w:p>
    <w:p w14:paraId="5858CB22" w14:textId="523752D6" w:rsidR="0037086F" w:rsidRPr="0037086F"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 xml:space="preserve">For policymakers and education advocates, the </w:t>
      </w:r>
      <w:r w:rsidR="008354C4">
        <w:rPr>
          <w:rFonts w:ascii="Times New Roman" w:eastAsia="Calibri" w:hAnsi="Times New Roman" w:cs="Times New Roman"/>
          <w:color w:val="000000"/>
          <w:kern w:val="0"/>
          <w:szCs w:val="22"/>
          <w:shd w:val="clear" w:color="auto" w:fill="FFFFFF"/>
          <w14:ligatures w14:val="none"/>
        </w:rPr>
        <w:t>story visualization (Figure 3) is the most appropriate choice because it provides concise, directional insights that meet their needs, making them feel understood and valued</w:t>
      </w:r>
      <w:r w:rsidRPr="0037086F">
        <w:rPr>
          <w:rFonts w:ascii="Times New Roman" w:eastAsia="Calibri" w:hAnsi="Times New Roman" w:cs="Times New Roman"/>
          <w:color w:val="000000"/>
          <w:kern w:val="0"/>
          <w:szCs w:val="22"/>
          <w:shd w:val="clear" w:color="auto" w:fill="FFFFFF"/>
          <w14:ligatures w14:val="none"/>
        </w:rPr>
        <w:t xml:space="preserve">. </w:t>
      </w:r>
      <w:proofErr w:type="spellStart"/>
      <w:r w:rsidRPr="0037086F">
        <w:rPr>
          <w:rFonts w:ascii="Times New Roman" w:eastAsia="Calibri" w:hAnsi="Times New Roman" w:cs="Times New Roman"/>
          <w:color w:val="000000"/>
          <w:kern w:val="0"/>
          <w:szCs w:val="22"/>
          <w:shd w:val="clear" w:color="auto" w:fill="FFFFFF"/>
          <w14:ligatures w14:val="none"/>
        </w:rPr>
        <w:t>TechChange</w:t>
      </w:r>
      <w:proofErr w:type="spellEnd"/>
      <w:r w:rsidRPr="0037086F">
        <w:rPr>
          <w:rFonts w:ascii="Times New Roman" w:eastAsia="Calibri" w:hAnsi="Times New Roman" w:cs="Times New Roman"/>
          <w:color w:val="000000"/>
          <w:kern w:val="0"/>
          <w:szCs w:val="22"/>
          <w:shd w:val="clear" w:color="auto" w:fill="FFFFFF"/>
          <w14:ligatures w14:val="none"/>
        </w:rPr>
        <w:t xml:space="preserve"> (2015) notes that audiences with limited time and mixed data-literacy levels benefit most from visuals that foreground the “so what” rather than the underlying mechanics. The percent-change chart accomplishes this by summarizing three decades of funding into a simple comparison of increases and decreases across states.</w:t>
      </w:r>
    </w:p>
    <w:p w14:paraId="1AA88AA2" w14:textId="1FEE3A75" w:rsidR="005D32FC" w:rsidRPr="00FB4E8E"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Unlike the technical visualization, which demands careful interpretation, or the simple visualization, which shows only a single year, the story visualization strikes a balance between accessibility and analytical value. It respects the audience’s time while still communicating meaningful long-term trends</w:t>
      </w:r>
      <w:r w:rsidR="005D32FC">
        <w:rPr>
          <w:rFonts w:ascii="Times New Roman" w:eastAsia="Calibri" w:hAnsi="Times New Roman" w:cs="Times New Roman"/>
          <w:color w:val="000000"/>
          <w:kern w:val="0"/>
          <w:szCs w:val="22"/>
          <w:shd w:val="clear" w:color="auto" w:fill="FFFFFF"/>
          <w14:ligatures w14:val="none"/>
        </w:rPr>
        <w:t>.</w:t>
      </w:r>
    </w:p>
    <w:p w14:paraId="011AF276" w14:textId="7DC4A961" w:rsidR="00454A26" w:rsidRDefault="005D32FC"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5D32FC">
        <w:rPr>
          <w:rFonts w:ascii="Times New Roman" w:eastAsia="Calibri" w:hAnsi="Times New Roman" w:cs="Times New Roman"/>
          <w:b/>
          <w:bCs/>
          <w:color w:val="000000"/>
          <w:kern w:val="0"/>
          <w:szCs w:val="22"/>
          <w:shd w:val="clear" w:color="auto" w:fill="FFFFFF"/>
          <w14:ligatures w14:val="none"/>
        </w:rPr>
        <w:t>Refinements</w:t>
      </w:r>
    </w:p>
    <w:p w14:paraId="1AE6344B" w14:textId="77777777" w:rsidR="0037086F" w:rsidRPr="0037086F"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Several refinements could make the visualizations even more effective for the intended audience:</w:t>
      </w:r>
    </w:p>
    <w:p w14:paraId="0C70E343" w14:textId="77777777" w:rsidR="0037086F" w:rsidRPr="0037086F" w:rsidRDefault="0037086F" w:rsidP="008354C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37086F">
        <w:rPr>
          <w:rFonts w:ascii="Times New Roman" w:eastAsia="Calibri" w:hAnsi="Times New Roman" w:cs="Times New Roman"/>
          <w:b/>
          <w:bCs/>
          <w:color w:val="000000"/>
          <w:kern w:val="0"/>
          <w:szCs w:val="22"/>
          <w:shd w:val="clear" w:color="auto" w:fill="FFFFFF"/>
          <w14:ligatures w14:val="none"/>
        </w:rPr>
        <w:t>Technical Visualization (Figure 1)</w:t>
      </w:r>
    </w:p>
    <w:p w14:paraId="61CB35CA" w14:textId="77777777" w:rsidR="0037086F" w:rsidRPr="0037086F" w:rsidRDefault="0037086F" w:rsidP="0037086F">
      <w:pPr>
        <w:numPr>
          <w:ilvl w:val="0"/>
          <w:numId w:val="5"/>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Reducing the number of displayed states or highlighting only the national trend could minimize visual clutter.</w:t>
      </w:r>
    </w:p>
    <w:p w14:paraId="4BDB65EA" w14:textId="77777777" w:rsidR="0037086F" w:rsidRPr="0037086F" w:rsidRDefault="0037086F" w:rsidP="0037086F">
      <w:pPr>
        <w:numPr>
          <w:ilvl w:val="0"/>
          <w:numId w:val="5"/>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Adding annotations for key historical events (e.g., recession years) would help contextualize the shifts and reduce interpretive effort.</w:t>
      </w:r>
    </w:p>
    <w:p w14:paraId="3AE1B28D" w14:textId="77777777" w:rsidR="0037086F" w:rsidRPr="0037086F" w:rsidRDefault="0037086F" w:rsidP="008354C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37086F">
        <w:rPr>
          <w:rFonts w:ascii="Times New Roman" w:eastAsia="Calibri" w:hAnsi="Times New Roman" w:cs="Times New Roman"/>
          <w:b/>
          <w:bCs/>
          <w:color w:val="000000"/>
          <w:kern w:val="0"/>
          <w:szCs w:val="22"/>
          <w:shd w:val="clear" w:color="auto" w:fill="FFFFFF"/>
          <w14:ligatures w14:val="none"/>
        </w:rPr>
        <w:t>Simple Visualization (Figure 2)</w:t>
      </w:r>
    </w:p>
    <w:p w14:paraId="7F8B9E51" w14:textId="77777777" w:rsidR="0037086F" w:rsidRPr="0037086F" w:rsidRDefault="0037086F" w:rsidP="0037086F">
      <w:pPr>
        <w:numPr>
          <w:ilvl w:val="0"/>
          <w:numId w:val="6"/>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 xml:space="preserve">Adding value labels directly to the bars would eliminate estimation and improve </w:t>
      </w:r>
      <w:proofErr w:type="spellStart"/>
      <w:r w:rsidRPr="0037086F">
        <w:rPr>
          <w:rFonts w:ascii="Times New Roman" w:eastAsia="Calibri" w:hAnsi="Times New Roman" w:cs="Times New Roman"/>
          <w:color w:val="000000"/>
          <w:kern w:val="0"/>
          <w:szCs w:val="22"/>
          <w:shd w:val="clear" w:color="auto" w:fill="FFFFFF"/>
          <w14:ligatures w14:val="none"/>
        </w:rPr>
        <w:t>scannability</w:t>
      </w:r>
      <w:proofErr w:type="spellEnd"/>
      <w:r w:rsidRPr="0037086F">
        <w:rPr>
          <w:rFonts w:ascii="Times New Roman" w:eastAsia="Calibri" w:hAnsi="Times New Roman" w:cs="Times New Roman"/>
          <w:color w:val="000000"/>
          <w:kern w:val="0"/>
          <w:szCs w:val="22"/>
          <w:shd w:val="clear" w:color="auto" w:fill="FFFFFF"/>
          <w14:ligatures w14:val="none"/>
        </w:rPr>
        <w:t>.</w:t>
      </w:r>
    </w:p>
    <w:p w14:paraId="2A457420" w14:textId="77777777" w:rsidR="0037086F" w:rsidRPr="0037086F" w:rsidRDefault="0037086F" w:rsidP="0037086F">
      <w:pPr>
        <w:numPr>
          <w:ilvl w:val="0"/>
          <w:numId w:val="6"/>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lastRenderedPageBreak/>
        <w:t>Increasing the visibility of the national-average line and including a brief explanatory note would reinforce its meaning for less experienced readers.</w:t>
      </w:r>
    </w:p>
    <w:p w14:paraId="4584BC47" w14:textId="77777777" w:rsidR="0037086F" w:rsidRPr="0037086F" w:rsidRDefault="0037086F" w:rsidP="008354C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37086F">
        <w:rPr>
          <w:rFonts w:ascii="Times New Roman" w:eastAsia="Calibri" w:hAnsi="Times New Roman" w:cs="Times New Roman"/>
          <w:b/>
          <w:bCs/>
          <w:color w:val="000000"/>
          <w:kern w:val="0"/>
          <w:szCs w:val="22"/>
          <w:shd w:val="clear" w:color="auto" w:fill="FFFFFF"/>
          <w14:ligatures w14:val="none"/>
        </w:rPr>
        <w:t>Story Visualization (Figure 3)</w:t>
      </w:r>
    </w:p>
    <w:p w14:paraId="1037C2AB" w14:textId="77777777" w:rsidR="0037086F" w:rsidRPr="0037086F" w:rsidRDefault="0037086F" w:rsidP="0037086F">
      <w:pPr>
        <w:numPr>
          <w:ilvl w:val="0"/>
          <w:numId w:val="7"/>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Placing exact percentage values at the end of each bar would strengthen clarity.</w:t>
      </w:r>
    </w:p>
    <w:p w14:paraId="4633C98D" w14:textId="009A2261" w:rsidR="0037086F" w:rsidRPr="0037086F" w:rsidRDefault="0037086F" w:rsidP="0037086F">
      <w:pPr>
        <w:numPr>
          <w:ilvl w:val="0"/>
          <w:numId w:val="7"/>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Using subtle color cues</w:t>
      </w:r>
      <w:r w:rsidR="008354C4">
        <w:rPr>
          <w:rFonts w:ascii="Times New Roman" w:eastAsia="Calibri" w:hAnsi="Times New Roman" w:cs="Times New Roman"/>
          <w:color w:val="000000"/>
          <w:kern w:val="0"/>
          <w:szCs w:val="22"/>
          <w:shd w:val="clear" w:color="auto" w:fill="FFFFFF"/>
          <w14:ligatures w14:val="none"/>
        </w:rPr>
        <w:t>, such as green for increases and muted tones for declines,</w:t>
      </w:r>
      <w:r>
        <w:rPr>
          <w:rFonts w:ascii="Times New Roman" w:eastAsia="Calibri" w:hAnsi="Times New Roman" w:cs="Times New Roman"/>
          <w:color w:val="000000"/>
          <w:kern w:val="0"/>
          <w:szCs w:val="22"/>
          <w:shd w:val="clear" w:color="auto" w:fill="FFFFFF"/>
          <w14:ligatures w14:val="none"/>
        </w:rPr>
        <w:t xml:space="preserve"> </w:t>
      </w:r>
      <w:r w:rsidRPr="0037086F">
        <w:rPr>
          <w:rFonts w:ascii="Times New Roman" w:eastAsia="Calibri" w:hAnsi="Times New Roman" w:cs="Times New Roman"/>
          <w:color w:val="000000"/>
          <w:kern w:val="0"/>
          <w:szCs w:val="22"/>
          <w:shd w:val="clear" w:color="auto" w:fill="FFFFFF"/>
          <w14:ligatures w14:val="none"/>
        </w:rPr>
        <w:t>could reinforce the visual message without overwhelming the chart.</w:t>
      </w:r>
    </w:p>
    <w:p w14:paraId="46BDBC45" w14:textId="5EDF341E" w:rsidR="005D32FC" w:rsidRPr="00FB4E8E" w:rsidRDefault="0037086F" w:rsidP="0037086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These refinements would support the audience’s understanding and engagement, especially for busy, policy-oriented readers who need efficient access to insights</w:t>
      </w:r>
      <w:r w:rsidR="005D32FC">
        <w:rPr>
          <w:rFonts w:ascii="Times New Roman" w:eastAsia="Calibri" w:hAnsi="Times New Roman" w:cs="Times New Roman"/>
          <w:color w:val="000000"/>
          <w:kern w:val="0"/>
          <w:szCs w:val="22"/>
          <w:shd w:val="clear" w:color="auto" w:fill="FFFFFF"/>
          <w14:ligatures w14:val="none"/>
        </w:rPr>
        <w:t>.</w:t>
      </w:r>
    </w:p>
    <w:p w14:paraId="0AE7A6FC" w14:textId="77777777" w:rsidR="00DA64A9" w:rsidRDefault="005857AA" w:rsidP="00DA64A9">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4511DAC7" w14:textId="0CB966C4" w:rsidR="00643C94" w:rsidRDefault="0037086F" w:rsidP="00DA64A9">
      <w:pPr>
        <w:shd w:val="clear" w:color="auto" w:fill="FFFFFF"/>
        <w:spacing w:after="0" w:line="480" w:lineRule="auto"/>
        <w:ind w:firstLine="720"/>
        <w:outlineLvl w:val="1"/>
        <w:rPr>
          <w:rFonts w:ascii="Times New Roman" w:eastAsia="Calibri" w:hAnsi="Times New Roman" w:cs="Times New Roman"/>
          <w:b/>
          <w:bCs/>
          <w:color w:val="000000"/>
          <w:kern w:val="0"/>
          <w:szCs w:val="22"/>
          <w:shd w:val="clear" w:color="auto" w:fill="FFFFFF"/>
          <w14:ligatures w14:val="none"/>
        </w:rPr>
      </w:pPr>
      <w:r w:rsidRPr="0037086F">
        <w:rPr>
          <w:rFonts w:ascii="Times New Roman" w:eastAsia="Calibri" w:hAnsi="Times New Roman" w:cs="Times New Roman"/>
          <w:color w:val="000000"/>
          <w:kern w:val="0"/>
          <w:szCs w:val="22"/>
          <w:shd w:val="clear" w:color="auto" w:fill="FFFFFF"/>
          <w14:ligatures w14:val="none"/>
        </w:rPr>
        <w:t xml:space="preserve">Completing this comparison reinforced how much visualization design influences what audiences take away from a dataset. Despite sharing the exact underlying numbers, the three visualizations tell markedly different stories because of their structure, chart types, and levels of detail. This assignment helped me deepen my understanding of how to evaluate the technical quality of a visualization </w:t>
      </w:r>
      <w:r w:rsidR="008354C4">
        <w:rPr>
          <w:rFonts w:ascii="Times New Roman" w:eastAsia="Calibri" w:hAnsi="Times New Roman" w:cs="Times New Roman"/>
          <w:color w:val="000000"/>
          <w:kern w:val="0"/>
          <w:szCs w:val="22"/>
          <w:shd w:val="clear" w:color="auto" w:fill="FFFFFF"/>
          <w14:ligatures w14:val="none"/>
        </w:rPr>
        <w:t>and align</w:t>
      </w:r>
      <w:r w:rsidRPr="0037086F">
        <w:rPr>
          <w:rFonts w:ascii="Times New Roman" w:eastAsia="Calibri" w:hAnsi="Times New Roman" w:cs="Times New Roman"/>
          <w:color w:val="000000"/>
          <w:kern w:val="0"/>
          <w:szCs w:val="22"/>
          <w:shd w:val="clear" w:color="auto" w:fill="FFFFFF"/>
          <w14:ligatures w14:val="none"/>
        </w:rPr>
        <w:t xml:space="preserve"> design decisions with audience needs and </w:t>
      </w:r>
      <w:r w:rsidR="008354C4">
        <w:rPr>
          <w:rFonts w:ascii="Times New Roman" w:eastAsia="Calibri" w:hAnsi="Times New Roman" w:cs="Times New Roman"/>
          <w:color w:val="000000"/>
          <w:kern w:val="0"/>
          <w:szCs w:val="22"/>
          <w:shd w:val="clear" w:color="auto" w:fill="FFFFFF"/>
          <w14:ligatures w14:val="none"/>
        </w:rPr>
        <w:t>data literacy</w:t>
      </w:r>
      <w:r w:rsidRPr="0037086F">
        <w:rPr>
          <w:rFonts w:ascii="Times New Roman" w:eastAsia="Calibri" w:hAnsi="Times New Roman" w:cs="Times New Roman"/>
          <w:color w:val="000000"/>
          <w:kern w:val="0"/>
          <w:szCs w:val="22"/>
          <w:shd w:val="clear" w:color="auto" w:fill="FFFFFF"/>
          <w14:ligatures w14:val="none"/>
        </w:rPr>
        <w:t xml:space="preserve"> levels. Moving forward, I will continue to prioritize chart choices that balance accuracy with accessibility, especially when communicating findings to diverse stakeholders</w:t>
      </w:r>
      <w:r w:rsidR="00454A26">
        <w:rPr>
          <w:rFonts w:ascii="Times New Roman" w:eastAsia="Calibri" w:hAnsi="Times New Roman" w:cs="Times New Roman"/>
          <w:color w:val="000000"/>
          <w:kern w:val="0"/>
          <w:szCs w:val="22"/>
          <w:shd w:val="clear" w:color="auto" w:fill="FFFFFF"/>
          <w14:ligatures w14:val="none"/>
        </w:rPr>
        <w:t>.</w:t>
      </w:r>
    </w:p>
    <w:p w14:paraId="36E86B4C" w14:textId="77777777" w:rsidR="00454A26" w:rsidRDefault="00454A26"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3D71736" w14:textId="77777777" w:rsidR="007E3E93" w:rsidRDefault="007E3E93"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1CFC4858" w14:textId="77777777" w:rsidR="00EF57E5" w:rsidRDefault="00EF57E5"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6555ECA" w14:textId="77777777" w:rsidR="00E37FCC" w:rsidRDefault="00E37FCC"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3EE549F" w14:textId="77777777" w:rsidR="00E37FCC" w:rsidRDefault="00E37FCC"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48AFACE" w14:textId="77777777" w:rsidR="00B4116C" w:rsidRDefault="00B4116C"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2212321D" w14:textId="77777777" w:rsidR="0037086F" w:rsidRPr="005857AA" w:rsidRDefault="0037086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53DA762" w14:textId="77777777" w:rsidR="00E71893" w:rsidRPr="00E71893" w:rsidRDefault="00E71893" w:rsidP="00E71893">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3B2DB859" w14:textId="77777777" w:rsidR="00E37FCC" w:rsidRPr="00E37FCC" w:rsidRDefault="00E37FCC" w:rsidP="00E37FCC">
      <w:pPr>
        <w:ind w:left="720" w:hanging="720"/>
        <w:rPr>
          <w:rFonts w:ascii="Times New Roman" w:hAnsi="Times New Roman" w:cs="Times New Roman"/>
        </w:rPr>
      </w:pPr>
      <w:r w:rsidRPr="00E37FCC">
        <w:rPr>
          <w:rFonts w:ascii="Times New Roman" w:hAnsi="Times New Roman" w:cs="Times New Roman"/>
        </w:rPr>
        <w:t xml:space="preserve">Atlassian. (n.d.). </w:t>
      </w:r>
      <w:r w:rsidRPr="00E37FCC">
        <w:rPr>
          <w:rFonts w:ascii="Times New Roman" w:hAnsi="Times New Roman" w:cs="Times New Roman"/>
          <w:i/>
          <w:iCs/>
        </w:rPr>
        <w:t>How to choose the right data visualization</w:t>
      </w:r>
      <w:r w:rsidRPr="00E37FCC">
        <w:rPr>
          <w:rFonts w:ascii="Times New Roman" w:hAnsi="Times New Roman" w:cs="Times New Roman"/>
        </w:rPr>
        <w:t xml:space="preserve">. </w:t>
      </w:r>
      <w:hyperlink r:id="rId8" w:tgtFrame="_new" w:history="1">
        <w:r w:rsidRPr="00E37FCC">
          <w:rPr>
            <w:rStyle w:val="Hyperlink"/>
            <w:rFonts w:ascii="Times New Roman" w:hAnsi="Times New Roman" w:cs="Times New Roman"/>
          </w:rPr>
          <w:t>https://www.atlassian.com/data/charts/how-to-choose-data-visualization</w:t>
        </w:r>
      </w:hyperlink>
    </w:p>
    <w:p w14:paraId="6405EF11" w14:textId="77777777" w:rsidR="00E37FCC" w:rsidRPr="00E37FCC" w:rsidRDefault="00E37FCC" w:rsidP="00E37FCC">
      <w:pPr>
        <w:ind w:left="720" w:hanging="720"/>
        <w:rPr>
          <w:rFonts w:ascii="Times New Roman" w:hAnsi="Times New Roman" w:cs="Times New Roman"/>
        </w:rPr>
      </w:pPr>
      <w:r w:rsidRPr="00E37FCC">
        <w:rPr>
          <w:rFonts w:ascii="Times New Roman" w:hAnsi="Times New Roman" w:cs="Times New Roman"/>
        </w:rPr>
        <w:t xml:space="preserve">Data Visualization Catalogue. (n.d.). </w:t>
      </w:r>
      <w:r w:rsidRPr="00E37FCC">
        <w:rPr>
          <w:rFonts w:ascii="Times New Roman" w:hAnsi="Times New Roman" w:cs="Times New Roman"/>
          <w:i/>
          <w:iCs/>
        </w:rPr>
        <w:t>Chart types</w:t>
      </w:r>
      <w:r w:rsidRPr="00E37FCC">
        <w:rPr>
          <w:rFonts w:ascii="Times New Roman" w:hAnsi="Times New Roman" w:cs="Times New Roman"/>
        </w:rPr>
        <w:t xml:space="preserve">. </w:t>
      </w:r>
      <w:hyperlink r:id="rId9" w:tgtFrame="_new" w:history="1">
        <w:r w:rsidRPr="00E37FCC">
          <w:rPr>
            <w:rStyle w:val="Hyperlink"/>
            <w:rFonts w:ascii="Times New Roman" w:hAnsi="Times New Roman" w:cs="Times New Roman"/>
          </w:rPr>
          <w:t>https://datavizcatalogue.com</w:t>
        </w:r>
      </w:hyperlink>
    </w:p>
    <w:p w14:paraId="0A906DC6" w14:textId="7581B6E3" w:rsidR="00E37FCC" w:rsidRDefault="00E37FCC" w:rsidP="00E37FCC">
      <w:pPr>
        <w:ind w:left="720" w:hanging="720"/>
        <w:rPr>
          <w:rFonts w:ascii="Times New Roman" w:hAnsi="Times New Roman" w:cs="Times New Roman"/>
        </w:rPr>
      </w:pPr>
      <w:r w:rsidRPr="00E37FCC">
        <w:rPr>
          <w:rFonts w:ascii="Times New Roman" w:hAnsi="Times New Roman" w:cs="Times New Roman"/>
        </w:rPr>
        <w:t xml:space="preserve">Dutton, C. (2023). </w:t>
      </w:r>
      <w:r w:rsidRPr="00E37FCC">
        <w:rPr>
          <w:rFonts w:ascii="Times New Roman" w:hAnsi="Times New Roman" w:cs="Times New Roman"/>
          <w:i/>
          <w:iCs/>
        </w:rPr>
        <w:t>How to choose the best chart for your data visualization: Ask yourself these three key questions</w:t>
      </w:r>
      <w:r w:rsidRPr="00E37FCC">
        <w:rPr>
          <w:rFonts w:ascii="Times New Roman" w:hAnsi="Times New Roman" w:cs="Times New Roman"/>
        </w:rPr>
        <w:t xml:space="preserve"> [Video]. YouTube. </w:t>
      </w:r>
      <w:hyperlink r:id="rId10" w:tgtFrame="_new" w:history="1">
        <w:r w:rsidRPr="00E37FCC">
          <w:rPr>
            <w:rStyle w:val="Hyperlink"/>
            <w:rFonts w:ascii="Times New Roman" w:hAnsi="Times New Roman" w:cs="Times New Roman"/>
          </w:rPr>
          <w:t>https://www.youtube.com/watch?v=fBgk_cNCnsk</w:t>
        </w:r>
      </w:hyperlink>
    </w:p>
    <w:p w14:paraId="094481FD" w14:textId="1E42FA7E" w:rsidR="00B27F24" w:rsidRDefault="00B27F24" w:rsidP="00454A26">
      <w:pPr>
        <w:ind w:left="720" w:hanging="720"/>
      </w:pPr>
      <w:r w:rsidRPr="003B7E24">
        <w:rPr>
          <w:rFonts w:ascii="Times New Roman" w:hAnsi="Times New Roman" w:cs="Times New Roman"/>
        </w:rPr>
        <w:t xml:space="preserve">Grammarly Inc. (n.d.). </w:t>
      </w:r>
      <w:r w:rsidRPr="003B7E24">
        <w:rPr>
          <w:rFonts w:ascii="Times New Roman" w:hAnsi="Times New Roman" w:cs="Times New Roman"/>
          <w:i/>
          <w:iCs/>
        </w:rPr>
        <w:t>Grammarly.</w:t>
      </w:r>
      <w:r w:rsidRPr="003B7E24">
        <w:rPr>
          <w:rFonts w:ascii="Times New Roman" w:hAnsi="Times New Roman" w:cs="Times New Roman"/>
        </w:rPr>
        <w:t xml:space="preserve"> </w:t>
      </w:r>
      <w:hyperlink r:id="rId11" w:tgtFrame="_new" w:history="1">
        <w:r w:rsidRPr="003B7E24">
          <w:rPr>
            <w:rStyle w:val="Hyperlink"/>
            <w:rFonts w:ascii="Times New Roman" w:hAnsi="Times New Roman" w:cs="Times New Roman"/>
          </w:rPr>
          <w:t>https://www.grammarly.com/</w:t>
        </w:r>
      </w:hyperlink>
    </w:p>
    <w:p w14:paraId="7F46D426" w14:textId="29171E18" w:rsidR="00E37FCC" w:rsidRDefault="00E37FCC" w:rsidP="00454A26">
      <w:pPr>
        <w:ind w:left="720" w:hanging="720"/>
      </w:pPr>
      <w:proofErr w:type="spellStart"/>
      <w:r w:rsidRPr="00E37FCC">
        <w:t>TechChange</w:t>
      </w:r>
      <w:proofErr w:type="spellEnd"/>
      <w:r w:rsidRPr="00E37FCC">
        <w:t xml:space="preserve">. (2015). </w:t>
      </w:r>
      <w:r w:rsidRPr="00E37FCC">
        <w:rPr>
          <w:i/>
          <w:iCs/>
        </w:rPr>
        <w:t>Why your audience matters in data visualization</w:t>
      </w:r>
      <w:r w:rsidRPr="00E37FCC">
        <w:t xml:space="preserve">. </w:t>
      </w:r>
      <w:hyperlink r:id="rId12" w:tgtFrame="_new" w:history="1">
        <w:r w:rsidRPr="00E37FCC">
          <w:rPr>
            <w:rStyle w:val="Hyperlink"/>
          </w:rPr>
          <w:t>https://www.techchange.org/2015/05/21/audience-matters-in-data-visualization/</w:t>
        </w:r>
      </w:hyperlink>
    </w:p>
    <w:p w14:paraId="41D56664" w14:textId="772DECEC" w:rsidR="0022423E" w:rsidRPr="00454A26" w:rsidRDefault="0022423E" w:rsidP="0022423E">
      <w:pPr>
        <w:ind w:left="720" w:hanging="720"/>
        <w:rPr>
          <w:rFonts w:ascii="Times New Roman" w:hAnsi="Times New Roman" w:cs="Times New Roman"/>
        </w:rPr>
      </w:pPr>
    </w:p>
    <w:sectPr w:rsidR="0022423E" w:rsidRPr="00454A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84625" w14:textId="77777777" w:rsidR="00586822" w:rsidRDefault="00586822" w:rsidP="00B47328">
      <w:pPr>
        <w:spacing w:after="0" w:line="240" w:lineRule="auto"/>
      </w:pPr>
      <w:r>
        <w:separator/>
      </w:r>
    </w:p>
  </w:endnote>
  <w:endnote w:type="continuationSeparator" w:id="0">
    <w:p w14:paraId="17CE64DC" w14:textId="77777777" w:rsidR="00586822" w:rsidRDefault="00586822"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3875" w14:textId="77777777" w:rsidR="00586822" w:rsidRDefault="00586822" w:rsidP="00B47328">
      <w:pPr>
        <w:spacing w:after="0" w:line="240" w:lineRule="auto"/>
      </w:pPr>
      <w:r>
        <w:separator/>
      </w:r>
    </w:p>
  </w:footnote>
  <w:footnote w:type="continuationSeparator" w:id="0">
    <w:p w14:paraId="2D21F81D" w14:textId="77777777" w:rsidR="00586822" w:rsidRDefault="00586822"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2DD"/>
    <w:multiLevelType w:val="multilevel"/>
    <w:tmpl w:val="CEE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2045D"/>
    <w:multiLevelType w:val="multilevel"/>
    <w:tmpl w:val="3F4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45292"/>
    <w:multiLevelType w:val="multilevel"/>
    <w:tmpl w:val="D40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1"/>
  </w:num>
  <w:num w:numId="2" w16cid:durableId="1919366054">
    <w:abstractNumId w:val="6"/>
  </w:num>
  <w:num w:numId="3" w16cid:durableId="1531333408">
    <w:abstractNumId w:val="4"/>
  </w:num>
  <w:num w:numId="4" w16cid:durableId="1637681787">
    <w:abstractNumId w:val="3"/>
  </w:num>
  <w:num w:numId="5" w16cid:durableId="1840732874">
    <w:abstractNumId w:val="5"/>
  </w:num>
  <w:num w:numId="6" w16cid:durableId="883295738">
    <w:abstractNumId w:val="2"/>
  </w:num>
  <w:num w:numId="7" w16cid:durableId="145903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12FC5"/>
    <w:rsid w:val="000B48E4"/>
    <w:rsid w:val="000B51D8"/>
    <w:rsid w:val="00183B8D"/>
    <w:rsid w:val="0018671C"/>
    <w:rsid w:val="001C4604"/>
    <w:rsid w:val="001E09AE"/>
    <w:rsid w:val="00214196"/>
    <w:rsid w:val="002151BC"/>
    <w:rsid w:val="0022423E"/>
    <w:rsid w:val="00256FDC"/>
    <w:rsid w:val="00357491"/>
    <w:rsid w:val="0037086F"/>
    <w:rsid w:val="00385CB5"/>
    <w:rsid w:val="003B7E24"/>
    <w:rsid w:val="003C1D76"/>
    <w:rsid w:val="003D2FDD"/>
    <w:rsid w:val="003D687E"/>
    <w:rsid w:val="00454A26"/>
    <w:rsid w:val="004669E3"/>
    <w:rsid w:val="004859CB"/>
    <w:rsid w:val="00486D3A"/>
    <w:rsid w:val="004A3479"/>
    <w:rsid w:val="004B44ED"/>
    <w:rsid w:val="004D2CAA"/>
    <w:rsid w:val="0051644C"/>
    <w:rsid w:val="005857AA"/>
    <w:rsid w:val="00585973"/>
    <w:rsid w:val="00586822"/>
    <w:rsid w:val="0059317B"/>
    <w:rsid w:val="005B72A9"/>
    <w:rsid w:val="005B7E5B"/>
    <w:rsid w:val="005C2B97"/>
    <w:rsid w:val="005D32FC"/>
    <w:rsid w:val="0060143A"/>
    <w:rsid w:val="00602F2B"/>
    <w:rsid w:val="00643C94"/>
    <w:rsid w:val="0064438F"/>
    <w:rsid w:val="00654E1F"/>
    <w:rsid w:val="006B4AC1"/>
    <w:rsid w:val="006B6614"/>
    <w:rsid w:val="006C6651"/>
    <w:rsid w:val="0071116D"/>
    <w:rsid w:val="007377B1"/>
    <w:rsid w:val="00745773"/>
    <w:rsid w:val="00782687"/>
    <w:rsid w:val="007E3E93"/>
    <w:rsid w:val="0082608F"/>
    <w:rsid w:val="008279E1"/>
    <w:rsid w:val="008354C4"/>
    <w:rsid w:val="00847F1B"/>
    <w:rsid w:val="00877732"/>
    <w:rsid w:val="0088075E"/>
    <w:rsid w:val="008C409C"/>
    <w:rsid w:val="00945093"/>
    <w:rsid w:val="009963B7"/>
    <w:rsid w:val="009B4C2C"/>
    <w:rsid w:val="009C59ED"/>
    <w:rsid w:val="009C7985"/>
    <w:rsid w:val="00A23B38"/>
    <w:rsid w:val="00A80464"/>
    <w:rsid w:val="00A96F8F"/>
    <w:rsid w:val="00A97698"/>
    <w:rsid w:val="00AD3AC4"/>
    <w:rsid w:val="00AD459E"/>
    <w:rsid w:val="00AD4A9A"/>
    <w:rsid w:val="00B260A3"/>
    <w:rsid w:val="00B27F24"/>
    <w:rsid w:val="00B4116C"/>
    <w:rsid w:val="00B47328"/>
    <w:rsid w:val="00C02CD3"/>
    <w:rsid w:val="00C20F18"/>
    <w:rsid w:val="00CC3E8B"/>
    <w:rsid w:val="00D02E0E"/>
    <w:rsid w:val="00D7149F"/>
    <w:rsid w:val="00DA41D1"/>
    <w:rsid w:val="00DA64A9"/>
    <w:rsid w:val="00DA6CF7"/>
    <w:rsid w:val="00DB489A"/>
    <w:rsid w:val="00DE628F"/>
    <w:rsid w:val="00DF49DB"/>
    <w:rsid w:val="00E37FCC"/>
    <w:rsid w:val="00E56D75"/>
    <w:rsid w:val="00E648E8"/>
    <w:rsid w:val="00E71893"/>
    <w:rsid w:val="00ED774C"/>
    <w:rsid w:val="00EE7D7A"/>
    <w:rsid w:val="00EF57E5"/>
    <w:rsid w:val="00EF5B57"/>
    <w:rsid w:val="00F55B4E"/>
    <w:rsid w:val="00F6472D"/>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data/charts/how-to-choose-data-visualiz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techchange.org/2015/05/21/audience-matters-in-data-visual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ammarly.com/" TargetMode="External"/><Relationship Id="rId5" Type="http://schemas.openxmlformats.org/officeDocument/2006/relationships/footnotes" Target="footnotes.xml"/><Relationship Id="rId10" Type="http://schemas.openxmlformats.org/officeDocument/2006/relationships/hyperlink" Target="https://www.youtube.com/watch?v=fBgk_cNCnsk" TargetMode="External"/><Relationship Id="rId4" Type="http://schemas.openxmlformats.org/officeDocument/2006/relationships/webSettings" Target="webSettings.xml"/><Relationship Id="rId9" Type="http://schemas.openxmlformats.org/officeDocument/2006/relationships/hyperlink" Target="https://datavizcatalogu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6</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58</cp:revision>
  <dcterms:created xsi:type="dcterms:W3CDTF">2025-08-28T16:26:00Z</dcterms:created>
  <dcterms:modified xsi:type="dcterms:W3CDTF">2025-12-05T01:30:00Z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