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984B7FD">
      <w:pPr>
        <w:pStyle w:val="3"/>
        <w:pBdr>
          <w:bottom w:val="single" w:sz="2" w:space="1" w:color="2980B9"/>
        </w:pBdr>
        <w:spacing w:before="200" w:after="100"/>
        <w:jc w:val="left"/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宋正博</w:t>
      </w:r>
    </w:p>
    <w:p w14:paraId="6D9E20DF">
      <w:pPr>
        <w:spacing w:before="0" w:after="12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NLP算法工程师 / AI Agent应用架构 · 5年+经验 · 团队管理</w:t>
      </w:r>
    </w:p>
    <w:p w14:paraId="2CE17BC1">
      <w:pPr>
        <w:spacing w:before="0" w:after="2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电话：</w:t>
      </w:r>
      <w:r>
        <w:rPr>
          <w:rFonts w:ascii="微软雅黑" w:hAnsi="微软雅黑" w:eastAsia="微软雅黑" w:cs="微软雅黑"/>
          <w:sz w:val="20"/>
          <w:szCs w:val="20"/>
        </w:rPr>
        <w:t>1</w:t>
      </w:r>
      <w:r>
        <w:rPr>
          <w:rFonts w:ascii="微软雅黑" w:hAnsi="微软雅黑" w:eastAsia="微软雅黑" w:cs="微软雅黑"/>
          <w:sz w:val="20"/>
          <w:szCs w:val="20"/>
        </w:rPr>
        <w:t>56</w:t>
      </w:r>
      <w:r>
        <w:rPr>
          <w:rFonts w:ascii="微软雅黑" w:hAnsi="微软雅黑" w:eastAsia="微软雅黑" w:cs="微软雅黑"/>
          <w:sz w:val="20"/>
          <w:szCs w:val="20"/>
        </w:rPr>
        <w:t>-</w:t>
      </w:r>
      <w:r>
        <w:rPr>
          <w:rFonts w:ascii="微软雅黑" w:hAnsi="微软雅黑" w:eastAsia="微软雅黑" w:cs="微软雅黑"/>
          <w:sz w:val="20"/>
          <w:szCs w:val="20"/>
        </w:rPr>
        <w:t>0692</w:t>
      </w:r>
      <w:r>
        <w:rPr>
          <w:rFonts w:ascii="微软雅黑" w:hAnsi="微软雅黑" w:eastAsia="微软雅黑" w:cs="微软雅黑"/>
          <w:sz w:val="20"/>
          <w:szCs w:val="20"/>
        </w:rPr>
        <w:t>-</w:t>
      </w:r>
      <w:r>
        <w:rPr>
          <w:rFonts w:ascii="微软雅黑" w:hAnsi="微软雅黑" w:eastAsia="微软雅黑" w:cs="微软雅黑"/>
          <w:sz w:val="20"/>
          <w:szCs w:val="20"/>
        </w:rPr>
        <w:t>0235</w:t>
      </w:r>
      <w:r>
        <w:rPr>
          <w:rFonts w:ascii="微软雅黑" w:hAnsi="微软雅黑" w:eastAsia="微软雅黑" w:cs="微软雅黑"/>
          <w:sz w:val="20"/>
          <w:szCs w:val="20"/>
        </w:rPr>
        <w:t xml:space="preserve">  </w:t>
      </w: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E</w:t>
      </w: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mail：1336437797@qq</w:t>
      </w:r>
      <w:r>
        <w:rPr>
          <w:rFonts w:ascii="微软雅黑" w:hAnsi="微软雅黑" w:eastAsia="微软雅黑" w:cs="微软雅黑"/>
          <w:sz w:val="20"/>
          <w:szCs w:val="20"/>
        </w:rPr>
        <w:t xml:space="preserve">.com  </w:t>
      </w: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地址：</w:t>
      </w:r>
      <w:r>
        <w:rPr>
          <w:rFonts w:ascii="微软雅黑" w:hAnsi="微软雅黑" w:eastAsia="微软雅黑" w:cs="微软雅黑"/>
          <w:sz w:val="20"/>
          <w:szCs w:val="20"/>
        </w:rPr>
        <w:t>厦门</w:t>
      </w:r>
    </w:p>
    <w:p w14:paraId="5004EEE9">
      <w:pPr>
        <w:pBdr>
          <w:bottom w:val="single" w:sz="6" w:space="1" w:color="2980B9"/>
        </w:pBdr>
        <w:spacing w:before="0" w:after="200"/>
        <w:jc w:val="left"/>
      </w:pPr>
    </w:p>
    <w:p w14:paraId="42EA63D7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教育背景</w:t>
      </w:r>
    </w:p>
    <w:tbl>
      <w:tblPr>
        <w:tblStyle w:val="11"/>
        <w:tblW w:w="95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750"/>
        <w:gridCol w:w="4750"/>
      </w:tblGrid>
      <w:tr>
        <w:trPr>
          <w:trHeight w:val="1228" w:hRule="atLeast"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1FCA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4"/>
                <w:szCs w:val="24"/>
              </w:rPr>
              <w:t xml:space="preserve">华东师范大学 </w:t>
            </w:r>
            <w:r>
              <w:rPr>
                <w:rFonts w:ascii="微软雅黑" w:hAnsi="微软雅黑" w:eastAsia="微软雅黑" w:cs="微软雅黑"/>
                <w:color w:val="2980B9"/>
                <w:sz w:val="24"/>
                <w:szCs w:val="24"/>
              </w:rPr>
              <w:t>985 · 保研</w:t>
            </w:r>
          </w:p>
          <w:p w14:paraId="474A0851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大数据科学 · 硕士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7B77D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2017.09 - 2020.06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D6E4F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4"/>
                <w:szCs w:val="24"/>
              </w:rPr>
              <w:t xml:space="preserve">南昌大学 </w:t>
            </w:r>
            <w:r>
              <w:rPr>
                <w:rFonts w:ascii="微软雅黑" w:hAnsi="微软雅黑" w:eastAsia="微软雅黑" w:cs="微软雅黑"/>
                <w:color w:val="2980B9"/>
                <w:sz w:val="24"/>
                <w:szCs w:val="24"/>
              </w:rPr>
              <w:t>211</w:t>
            </w:r>
          </w:p>
          <w:p w14:paraId="09223E35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软件工程 · 本科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B3F8D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2013.09 - 2017.06</w:t>
            </w:r>
          </w:p>
        </w:tc>
      </w:tr>
    </w:tbl>
    <w:p w14:paraId="4E89C8A9">
      <w:pPr>
        <w:spacing w:before="200" w:after="0"/>
        <w:jc w:val="left"/>
      </w:pPr>
    </w:p>
    <w:p w14:paraId="24EE3DFF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工作经历</w:t>
      </w:r>
    </w:p>
    <w:p w14:paraId="324BB5BE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4"/>
          <w:szCs w:val="24"/>
        </w:rPr>
        <w:t>厦门快商通科技股份有限公司</w:t>
      </w:r>
      <w:r>
        <w:rPr>
          <w:rFonts w:ascii="微软雅黑" w:hAnsi="微软雅黑" w:eastAsia="微软雅黑" w:cs="微软雅黑"/>
          <w:color w:val="2980B9"/>
          <w:sz w:val="24"/>
          <w:szCs w:val="24"/>
        </w:rPr>
        <w:t xml:space="preserve">    高级算法工程师</w:t>
      </w:r>
    </w:p>
    <w:p w14:paraId="4410FC96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color w:val="2C3E50"/>
          <w:sz w:val="22"/>
          <w:szCs w:val="22"/>
        </w:rPr>
        <w:t>2020.06 - 至今</w:t>
      </w:r>
    </w:p>
    <w:p w14:paraId="1A18FCB3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负责公司核心NLP算法引擎的研发与迭代，覆盖医疗实体识别、文本分类、语义表征等对话理解的内容，并主导医疗大模型后训练与Agent应用落地。管理5到10人算法与标注团队，推动技术成果服务于口腔科、皮肤科、医美、植发科、男科、儿科等</w:t>
      </w:r>
      <w:r>
        <w:rPr>
          <w:rFonts w:ascii="微软雅黑" w:hAnsi="微软雅黑" w:eastAsia="微软雅黑" w:cs="微软雅黑"/>
          <w:b/>
          <w:bCs/>
          <w:color w:val="C0392B"/>
          <w:sz w:val="24"/>
          <w:szCs w:val="24"/>
        </w:rPr>
        <w:t>30+家医疗客户</w:t>
      </w:r>
      <w:r>
        <w:rPr>
          <w:rFonts w:ascii="微软雅黑" w:hAnsi="微软雅黑" w:eastAsia="微软雅黑" w:cs="微软雅黑"/>
          <w:color w:val="2C3E50"/>
          <w:sz w:val="24"/>
          <w:szCs w:val="24"/>
        </w:rPr>
        <w:t>。</w:t>
      </w:r>
    </w:p>
    <w:p w14:paraId="3D7FE076">
      <w:pPr>
        <w:spacing w:before="120" w:after="80"/>
        <w:ind w:left="20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▎传统NLP算法（2020-2022）</w:t>
      </w:r>
    </w:p>
    <w:p w14:paraId="79EF1F7C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命名实体识别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 xml:space="preserve">：模型架构从BiLSTM-CRF → Pointer  → W2NER，包括大模型微调和prompt engineering，充分平衡高并发效率和识别效果，构建bad case反馈、标注、评估测试链路，支撑医疗对话中症状、药物、检查等多类型实体的高精度抽取。</w:t>
      </w:r>
    </w:p>
    <w:p w14:paraId="3991166A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文本分类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：模型架构从 BiLSTM → 蒸馏 RoBERTa → Few-Shot LLM service 的技术路线升级，在低资源场景下保持90%+分类准确率，推理延迟降低60%。并构建完全由业务人员进行的对话意图/主题识别Agent应用，充分从</w:t>
      </w:r>
      <w:r>
        <w:rPr>
          <w:rFonts w:ascii="微软雅黑" w:cs="微软雅黑"/>
          <w:sz w:val="22"/>
          <w:szCs w:val="22"/>
        </w:rPr>
        <w:t xml:space="preserve">业务需求出发优化识别和评估测试 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。</w:t>
      </w:r>
    </w:p>
    <w:p w14:paraId="38833CA4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对话指代消歧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：设计并实现多轮对话中的共指消解模块，解决医疗对话中指代词的精准回指，对话理解准确率提升15%</w:t>
      </w:r>
    </w:p>
    <w:p w14:paraId="15C78F79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知识图谱构建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：负责医疗领域知识图谱的关系识别与关系抽取模块，构建覆盖症状-疾病-治疗的图谱网络</w:t>
      </w:r>
    </w:p>
    <w:p w14:paraId="54237700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模型蒸馏与部署优化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：完成 BERT 系列模型到轻量化 BiLSTM 的知识蒸馏，模型体积压缩 90%，部署推理速度提升8倍</w:t>
      </w:r>
    </w:p>
    <w:p w14:paraId="38D72FFE">
      <w:pPr>
        <w:spacing w:before="160" w:after="80"/>
        <w:ind w:left="20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▎医疗大模型后训练与对齐（2023-2024）</w:t>
      </w:r>
    </w:p>
    <w:p w14:paraId="6C672CD2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强化学习对齐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：落地DPO/GRPO/GSPO等多种 RLHF 算法，基于VLLM+TRL框架完成 Qwen系列模型的后训练，对齐后模型在医疗对话场景留联率不同科室提升5%-8%</w:t>
      </w:r>
    </w:p>
    <w:p w14:paraId="19666E86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大模型蒸馏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：实现OPD、OPSD、SDFT等蒸馏方案，将72B教师模型能力迁移至 7B 学生模型，推理成本降低 80% 同时保留 90%+ 医疗对话能力</w:t>
      </w:r>
    </w:p>
    <w:p w14:paraId="01CD898D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RAG 系统构建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：搭建基于向量检索的医疗知识增强生成系统，融合科室知识库与对话上下文，有效缓解大模型幻觉问题，医疗建议准确率提升至 95%+</w:t>
      </w:r>
    </w:p>
    <w:p w14:paraId="431EE5B4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数据工程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：构建并维护 80K+ 对话语料、33K+ DPO 偏好数据的高质量数据管线</w:t>
      </w:r>
    </w:p>
    <w:p w14:paraId="75A1E564">
      <w:pPr>
        <w:spacing w:before="160" w:after="80"/>
        <w:ind w:left="20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▎AI Agent 应用与产品化（2025-至今）</w:t>
      </w:r>
    </w:p>
    <w:p w14:paraId="08909ED2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对话理解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：设计并实现基于 LLM 的对话理解智能体，集成意图识别、实体抽取、情感分析等多能力</w:t>
      </w:r>
    </w:p>
    <w:p w14:paraId="04DCD546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对话信息采集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：开发面向医疗场景的信息主动采集智能体，信息完整率从 60% 提升至 92%</w:t>
      </w:r>
    </w:p>
    <w:p w14:paraId="68292A8B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智能问答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：构建科室专属问答智能体，结合 RAG 检索增强与知识图谱推理</w:t>
      </w:r>
    </w:p>
    <w:p w14:paraId="5EC146FC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对话质检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：实现基于 LLM 的对话质量自动审查智能体，替代 70% 人工抽检工作量</w:t>
      </w:r>
    </w:p>
    <w:p w14:paraId="7A24A789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地址解析与补全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：研发地址 NER 智能体，地址解析准确率达 96%+</w:t>
      </w:r>
    </w:p>
    <w:p w14:paraId="3B38210D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非医疗领域扩展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：为摄影、教育、家装等行业客户配置对话工作流</w:t>
      </w:r>
    </w:p>
    <w:p w14:paraId="262700B6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 xml:space="preserve">▪ 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产品组件开发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：持续维护并迭代 NER 服务、提示词模板管理、批量测试看板等产品组件</w:t>
      </w:r>
    </w:p>
    <w:p w14:paraId="3CBF6004">
      <w:pPr>
        <w:spacing w:before="200" w:after="0"/>
        <w:jc w:val="left"/>
      </w:pPr>
    </w:p>
    <w:p w14:paraId="09E7533A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实习经历</w:t>
      </w:r>
    </w:p>
    <w:tbl>
      <w:tblPr>
        <w:tblStyle w:val="11"/>
        <w:tblW w:w="95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750"/>
        <w:gridCol w:w="475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dashed" w:sz="0" w:space="0" w:color="EEEEEE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82A6">
            <w:pPr>
              <w:spacing w:before="60" w:after="60" w:line="360" w:lineRule="auto"/>
              <w:jc w:val="left"/>
            </w:pPr>
            <w:bookmarkStart w:id="0" w:name="_GoBack"/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2345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（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上海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）</w:t>
            </w:r>
            <w:r>
              <w:rPr>
                <w:rFonts w:ascii="微软雅黑" w:hAnsi="微软雅黑" w:eastAsia="微软雅黑" w:cs="微软雅黑"/>
                <w:color w:val="555555"/>
                <w:sz w:val="22"/>
                <w:szCs w:val="22"/>
              </w:rPr>
              <w:t xml:space="preserve">  算法工程师</w:t>
            </w:r>
            <w:bookmarkEnd w:id="0"/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dashed" w:sz="0" w:space="0" w:color="EEEEEE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DF862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2019.10 - 2020.03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E7C6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众安科技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（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上海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）</w:t>
            </w:r>
            <w:r>
              <w:rPr>
                <w:rFonts w:ascii="微软雅黑" w:hAnsi="微软雅黑" w:eastAsia="微软雅黑" w:cs="微软雅黑"/>
                <w:color w:val="555555"/>
                <w:sz w:val="22"/>
                <w:szCs w:val="22"/>
              </w:rPr>
              <w:t xml:space="preserve">  数据挖掘算法工程师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D655A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2018.11 - 2019.05</w:t>
            </w:r>
          </w:p>
        </w:tc>
      </w:tr>
    </w:tbl>
    <w:p w14:paraId="73281B15">
      <w:pPr>
        <w:spacing w:before="200" w:after="0"/>
        <w:jc w:val="left"/>
      </w:pPr>
    </w:p>
    <w:p w14:paraId="49655118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技术能力</w:t>
      </w:r>
    </w:p>
    <w:p w14:paraId="69B2E4AB">
      <w:pPr>
        <w:spacing w:before="120" w:after="8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算法与模型</w:t>
      </w:r>
    </w:p>
    <w:p w14:paraId="3085E7F7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color w:val="2C3E50"/>
          <w:sz w:val="20"/>
          <w:szCs w:val="20"/>
        </w:rPr>
        <w:t>NLP、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LLM后训练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、RLHF/DPO/GRPO 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蒸馏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、实体识别、文本分类、RAG、Few-Shot Learning、Prompt Engineering</w:t>
      </w:r>
    </w:p>
    <w:p w14:paraId="7AC01C0E">
      <w:pPr>
        <w:spacing w:before="160" w:after="8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框架与工具</w:t>
      </w:r>
    </w:p>
    <w:p w14:paraId="4018EF3C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PyTorch、VLLM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TRL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、Transformers、Ray/FSDP、LangChain</w:t>
      </w:r>
    </w:p>
    <w:p w14:paraId="13FF7A2C">
      <w:pPr>
        <w:spacing w:before="160" w:after="8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工程与部署</w:t>
      </w:r>
    </w:p>
    <w:p w14:paraId="6C1BE0B3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模型部署优化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Agent 开发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、数据管线、Docker、SQLite/Supabase、微信小程序</w:t>
      </w:r>
    </w:p>
    <w:p w14:paraId="6E399FA0">
      <w:pPr>
        <w:spacing w:before="200" w:after="0"/>
        <w:jc w:val="left"/>
      </w:pPr>
    </w:p>
    <w:p w14:paraId="78BB3DA3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核心成果</w:t>
      </w:r>
    </w:p>
    <w:tbl>
      <w:tblPr>
        <w:tblStyle w:val="11"/>
        <w:tblW w:w="95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750"/>
        <w:gridCol w:w="4750"/>
      </w:tblGrid>
      <w:tr>
        <w:tc>
          <w:tcPr>
            <w:tcW w:w="4680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6AC77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医疗 NLP 全链路</w:t>
            </w:r>
          </w:p>
          <w:p w14:paraId="2A410224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从实体识别、意图分类到指代消歧，构建完整的医疗对话理解技术栈，服务 30+ 家医疗客户</w:t>
            </w:r>
          </w:p>
        </w:tc>
        <w:tc>
          <w:tcPr>
            <w:tcW w:w="4680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C117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大模型后训练</w:t>
            </w:r>
          </w:p>
          <w:p w14:paraId="2B78EC20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落地 DPO/GRPO/GSPO 等多种对齐方案，结合 OPD/SDFT 蒸馏，降低 80% 推理成本同时保留 90%+ 能力</w:t>
            </w:r>
          </w:p>
        </w:tc>
      </w:tr>
      <w:tr>
        <w:tc>
          <w:tcPr>
            <w:tcW w:w="4680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D8490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Agent 产品化</w:t>
            </w:r>
          </w:p>
          <w:p w14:paraId="2244BF50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主导对话理解、信息采集、质检、地址解析等 5+ Agent 落地，推动算法能力产品化交付</w:t>
            </w:r>
          </w:p>
        </w:tc>
        <w:tc>
          <w:tcPr>
            <w:tcW w:w="4680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342D9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团队管理</w:t>
            </w:r>
          </w:p>
          <w:p w14:paraId="2711B104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管理 5-10 人算法与标注团队，推动数据标注规范化与交付效率提升，保障多项目并行推进</w:t>
            </w:r>
          </w:p>
        </w:tc>
      </w:tr>
    </w:tbl>
    <w:p w14:paraId="41443DBD">
      <w:pPr>
        <w:spacing w:before="300" w:after="0"/>
        <w:jc w:val="left"/>
      </w:pPr>
    </w:p>
    <w:sectPr>
      <w:pgSz w:w="11906" w:h="16838"/>
      <w:pgMar w:top="1000" w:right="1200" w:bottom="1000" w:left="1200" w:header="708" w:footer="708" w:gutter="0"/>
      <w:cols w:space="72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0F53C9B"/>
    <w:rsid w:val="550451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1262</Words>
  <Characters>1714</Characters>
  <TotalTime>2</TotalTime>
  <ScaleCrop>false</ScaleCrop>
  <LinksUpToDate>false</LinksUpToDate>
  <CharactersWithSpaces>1921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2026-06-06T15:51:00Z</dcterms:created>
  <dc:creator>Un-named</dc:creator>
  <cp:lastModifiedBy>songzb</cp:lastModifiedBy>
  <dcterms:modified xsi:type="dcterms:W3CDTF">2026-07-09T15:22:25.851Z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eyJoZGlkIjoiMTlhNmE0YjdmZGQ4ZTVkODRhMmI5ZDQxNzhjN2UwYTcifQ==</vt:lpwstr>
  </property>
  <property fmtid="{D5CDD505-2E9C-101B-9397-08002B2CF9AE}" pid="3" name="KSOProductBuildVer">
    <vt:lpwstr>2052-12.1.0.26895</vt:lpwstr>
  </property>
  <property fmtid="{D5CDD505-2E9C-101B-9397-08002B2CF9AE}" pid="4" name="ICV">
    <vt:lpwstr>A0853036D67648D98D89A73B443A5004_12</vt:lpwstr>
  </property>
</Properties>
</file>