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[[Date]]</w:t>
      </w:r>
    </w:p>
    <w:p>
      <w:pPr>
        <w:pStyle w:val="BodyText"/>
      </w:pPr>
      <w:r>
        <w:t xml:space="preserve">[[Editor-in-Chief]] [[Journal]]</w:t>
      </w:r>
    </w:p>
    <w:p>
      <w:pPr>
        <w:pStyle w:val="BodyText"/>
      </w:pPr>
      <w:r>
        <w:t xml:space="preserve">Dear [[Editor]],</w:t>
      </w:r>
    </w:p>
    <w:p>
      <w:pPr>
        <w:pStyle w:val="BodyText"/>
      </w:pPr>
      <w:r>
        <w:t xml:space="preserve">We submit the manuscript</w:t>
      </w:r>
      <w:r>
        <w:t xml:space="preserve"> </w:t>
      </w:r>
      <w:r>
        <w:t xml:space="preserve">“</w:t>
      </w:r>
      <w:r>
        <w:t xml:space="preserve">TAMES AI: An Adaptive Fuzzy, Multimodal Ensemble Model for Malignancy Risk Assessment of Thyroid Nodules</w:t>
      </w:r>
      <w:r>
        <w:t xml:space="preserve">”</w:t>
      </w:r>
      <w:r>
        <w:t xml:space="preserve"> </w:t>
      </w:r>
      <w:r>
        <w:t xml:space="preserve">(Research Article) for consideration in [[Journal]].</w:t>
      </w:r>
    </w:p>
    <w:p>
      <w:pPr>
        <w:pStyle w:val="BodyText"/>
      </w:pPr>
      <w:r>
        <w:t xml:space="preserve">The manuscript describes an uncertainty-aware framework for thyroid-nodule risk assessment from B-mode ultrasound: an adaptive fuzzy image layer that produces a pixel membership map and an image-quality coefficient, a quality-weighted fusion of image embedding and sonographic descriptors, a hybrid ensemble of four learners, and evaluated explanations. It is developed and tested on the public TN3K dataset (3,493 images) with the dataset’s official split and a statistical analysis plan fixed before the test set was scored. We report the results as they are: with an expert delineation the model matches but does not exceed an image-only convolutional network (AUC 0.815 vs 0.830, p = 0.10); when the delineation is produced automatically, the setting in which such a system would be used, it keeps its accuracy (0.823) while the network and a conventional late fusion lose theirs (0.805 and 0.785; p = 0.010 after correction for the latter); it gives the best-calibrated probabilities; and under heavy synthetic noise it is the least robust model, which the ablation traces to the quality gating and the fuzzy inputs. All code, configurations, per-image predictions and trained weights are released, and the paper follows TRIPOD+AI and CLAIM.</w:t>
      </w:r>
    </w:p>
    <w:p>
      <w:pPr>
        <w:pStyle w:val="BodyText"/>
      </w:pPr>
      <w:r>
        <w:t xml:space="preserve">An earlier version of this work was reviewed at [[Journal of the first submission]] and not accepted; the reviewers’ comments concerned editorial notes left in the text, missing cohort and protocol detail and corrupted equations. The present manuscript was rebuilt from that review; a point-by-point response is attached for the editor’s information.</w:t>
      </w:r>
    </w:p>
    <w:p>
      <w:pPr>
        <w:pStyle w:val="BodyText"/>
      </w:pPr>
      <w:r>
        <w:t xml:space="preserve">The manuscript is not under consideration elsewhere, all authors have approved it, and there are no competing interests. The study used only publicly available de-identified data, so no ethics approval was required. We suggest no exclusions of reviewers.</w:t>
      </w:r>
    </w:p>
    <w:p>
      <w:pPr>
        <w:pStyle w:val="BodyText"/>
      </w:pPr>
      <w:r>
        <w:t xml:space="preserve">Sincerely,</w:t>
      </w:r>
    </w:p>
    <w:p>
      <w:pPr>
        <w:pStyle w:val="BodyText"/>
      </w:pPr>
      <w:r>
        <w:t xml:space="preserve">[[Corresponding author, affiliation, e-mail, ORCID]], on behalf of both authors</w:t>
      </w:r>
    </w:p>
    <w:p>
      <w:r>
        <w:br w:type="page"/>
      </w:r>
    </w:p>
    <w:bookmarkEnd w:id="20"/>
    <w:bookmarkStart w:id="21" w:name="response-to-reviewers"/>
    <w:p>
      <w:pPr>
        <w:pStyle w:val="Heading1"/>
      </w:pPr>
      <w:r>
        <w:t xml:space="preserve">Response to reviewers</w:t>
      </w:r>
    </w:p>
    <w:p>
      <w:pPr>
        <w:pStyle w:val="FirstParagraph"/>
      </w:pPr>
      <w:r>
        <w:t xml:space="preserve">Manuscript ID: [[ ]] · Title: TAMES AI: An Adaptive Fuzzy, Multimodal Ensemble Model for Malignancy Risk Assessment of Thyroid Nodules (previously</w:t>
      </w:r>
      <w:r>
        <w:t xml:space="preserve"> </w:t>
      </w:r>
      <w:r>
        <w:t xml:space="preserve">“</w:t>
      </w:r>
      <w:r>
        <w:t xml:space="preserve">TAMES AI: An Artificial Intelligence Model Based on Adaptive Fuzzy Set Theory and Hybrid Machine Learning Algorithms for Early Detection of Thyroid Cancer</w:t>
      </w:r>
      <w:r>
        <w:t xml:space="preserve">”</w:t>
      </w:r>
      <w:r>
        <w:t xml:space="preserve">) · Journal: [[ ]]</w:t>
      </w:r>
    </w:p>
    <w:p>
      <w:pPr>
        <w:pStyle w:val="BodyText"/>
      </w:pPr>
      <w:r>
        <w:t xml:space="preserve">Dear [[Editor]],</w:t>
      </w:r>
    </w:p>
    <w:p>
      <w:pPr>
        <w:pStyle w:val="BodyText"/>
      </w:pPr>
      <w:r>
        <w:t xml:space="preserve">We thank the editor and the reviewers for a careful reading. We accept every point raised. The version we submitted contained internal editorial notes that should never have reached the journal, its Methods did not allow the work to be reproduced, and its reported results were not backed by a documented experiment. We have rebuilt the study around an experiment that is fully specified and reproducible from a public repository: the model is developed and tested on the public TN3K dataset with its official split, every equation is defined in one notation, and every number in Section 5 is produced by the released code. The results are more modest than those first reported and we state them as they are: with an expert delineation the model matches but does not exceed an image-only network; without one it keeps its accuracy while the comparators lose theirs; under heavy noise it is the least robust model, and we explain why. The title was changed to describe what the study does. Because the manuscript was rewritten in full, a tracked-changes comparison would not be readable; we supply a clean version, and the table below gives the location of every change.</w:t>
      </w:r>
    </w:p>
    <w:tbl>
      <w:tblPr>
        <w:tblStyle w:val="Table"/>
        <w:tblW w:type="pct" w:w="5000"/>
        <w:tblLook w:firstRow="1" w:lastRow="0" w:firstColumn="0" w:lastColumn="0" w:noHBand="0" w:noVBand="0" w:val="0020"/>
        <w:jc w:val="start"/>
      </w:tblPr>
      <w:tblGrid>
        <w:gridCol w:w="688"/>
        <w:gridCol w:w="2410"/>
        <w:gridCol w:w="2410"/>
        <w:gridCol w:w="2410"/>
      </w:tblGrid>
      <w:tr>
        <w:trPr>
          <w:tblHeader w:val="true"/>
        </w:trPr>
        <w:tc>
          <w:tcPr/>
          <w:p>
            <w:pPr>
              <w:pStyle w:val="Compact"/>
              <w:spacing w:after="20" w:before="20" w:line="240" w:lineRule="auto"/>
              <w:jc w:val="left"/>
            </w:pPr>
            <w:r>
              <w:rPr>
                <w:sz w:val="18"/>
              </w:rPr>
              <w:t xml:space="preserve">#</w:t>
            </w:r>
          </w:p>
        </w:tc>
        <w:tc>
          <w:tcPr/>
          <w:p>
            <w:pPr>
              <w:pStyle w:val="Compact"/>
              <w:spacing w:after="20" w:before="20" w:line="240" w:lineRule="auto"/>
              <w:jc w:val="left"/>
            </w:pPr>
            <w:r>
              <w:rPr>
                <w:sz w:val="18"/>
              </w:rPr>
              <w:t xml:space="preserve">Reviewer comment (summarized)</w:t>
            </w:r>
          </w:p>
        </w:tc>
        <w:tc>
          <w:tcPr/>
          <w:p>
            <w:pPr>
              <w:pStyle w:val="Compact"/>
              <w:spacing w:after="20" w:before="20" w:line="240" w:lineRule="auto"/>
              <w:jc w:val="left"/>
            </w:pPr>
            <w:r>
              <w:rPr>
                <w:sz w:val="18"/>
              </w:rPr>
              <w:t xml:space="preserve">Response</w:t>
            </w:r>
          </w:p>
        </w:tc>
        <w:tc>
          <w:tcPr/>
          <w:p>
            <w:pPr>
              <w:pStyle w:val="Compact"/>
              <w:spacing w:after="20" w:before="20" w:line="240" w:lineRule="auto"/>
              <w:jc w:val="left"/>
            </w:pPr>
            <w:r>
              <w:rPr>
                <w:sz w:val="18"/>
              </w:rPr>
              <w:t xml:space="preserve">Revised location</w:t>
            </w:r>
          </w:p>
        </w:tc>
      </w:tr>
      <w:tr>
        <w:tc>
          <w:tcPr/>
          <w:p>
            <w:pPr>
              <w:pStyle w:val="Compact"/>
              <w:spacing w:after="20" w:before="20" w:line="240" w:lineRule="auto"/>
              <w:jc w:val="left"/>
            </w:pPr>
            <w:r>
              <w:rPr>
                <w:sz w:val="18"/>
              </w:rPr>
              <w:t xml:space="preserve">1</w:t>
            </w:r>
          </w:p>
        </w:tc>
        <w:tc>
          <w:tcPr/>
          <w:p>
            <w:pPr>
              <w:pStyle w:val="Compact"/>
              <w:spacing w:after="20" w:before="20" w:line="240" w:lineRule="auto"/>
              <w:jc w:val="left"/>
            </w:pPr>
            <w:r>
              <w:rPr>
                <w:sz w:val="18"/>
              </w:rPr>
              <w:t xml:space="preserve">Sections 3.1, 3.2, 3.9, 3.10, 5, 7 and 9 contain self-referential reviewer notes and revision directives; the file reads as an unfinalized internal draft.</w:t>
            </w:r>
          </w:p>
        </w:tc>
        <w:tc>
          <w:tcPr/>
          <w:p>
            <w:pPr>
              <w:pStyle w:val="Compact"/>
              <w:spacing w:after="20" w:before="20" w:line="240" w:lineRule="auto"/>
              <w:jc w:val="left"/>
            </w:pPr>
            <w:r>
              <w:rPr>
                <w:sz w:val="18"/>
              </w:rPr>
              <w:t xml:space="preserve">We agree and apologize. These sentences were internal annotations from an earlier editing round and were not removed before submission. Every such sentence has been deleted. Former Section 7 is replaced by a Limitations paragraph in the Discussion; former Section 9 by standard Data and Code Availability statements. Both authors re-read the full manuscript for any remaining meta-text.</w:t>
            </w:r>
          </w:p>
        </w:tc>
        <w:tc>
          <w:tcPr/>
          <w:p>
            <w:pPr>
              <w:pStyle w:val="Compact"/>
              <w:spacing w:after="20" w:before="20" w:line="240" w:lineRule="auto"/>
              <w:jc w:val="left"/>
            </w:pPr>
            <w:r>
              <w:rPr>
                <w:sz w:val="18"/>
              </w:rPr>
              <w:t xml:space="preserve">3, 5, 6, Declarations</w:t>
            </w:r>
          </w:p>
        </w:tc>
      </w:tr>
      <w:tr>
        <w:tc>
          <w:tcPr/>
          <w:p>
            <w:pPr>
              <w:pStyle w:val="Compact"/>
              <w:spacing w:after="20" w:before="20" w:line="240" w:lineRule="auto"/>
              <w:jc w:val="left"/>
            </w:pPr>
            <w:r>
              <w:rPr>
                <w:sz w:val="18"/>
              </w:rPr>
              <w:t xml:space="preserve">2</w:t>
            </w:r>
          </w:p>
        </w:tc>
        <w:tc>
          <w:tcPr/>
          <w:p>
            <w:pPr>
              <w:pStyle w:val="Compact"/>
              <w:spacing w:after="20" w:before="20" w:line="240" w:lineRule="auto"/>
              <w:jc w:val="left"/>
            </w:pPr>
            <w:r>
              <w:rPr>
                <w:sz w:val="18"/>
              </w:rPr>
              <w:t xml:space="preserve">No number of patients or nodules, class distribution, imaging sources, scanner specifications, or inclusion/exclusion criteria.</w:t>
            </w:r>
          </w:p>
        </w:tc>
        <w:tc>
          <w:tcPr/>
          <w:p>
            <w:pPr>
              <w:pStyle w:val="Compact"/>
              <w:spacing w:after="20" w:before="20" w:line="240" w:lineRule="auto"/>
              <w:jc w:val="left"/>
            </w:pPr>
            <w:r>
              <w:rPr>
                <w:sz w:val="18"/>
              </w:rPr>
              <w:t xml:space="preserve">The revised study uses the public TN3K dataset (Gong et al., 2021, 2023; labels 2022), so every cohort fact is stated and verifiable: 3,493 B-mode images (2,879 development, 614 official test) with radiologist nodule masks and benign/malignant labels released by the dataset authors; 33.8 % and 38.4 % malignant; native image sizes 174 × 216 to 771 × 1,463 pixels; inclusion = every image of the official release, exclusion = none (Table 1). We state explicitly that TN3K carries no laboratory, clinical or regional variables and no patient identifiers, and that the structured branch is therefore built from eleven sonographic descriptors computed from the image and the nodule delineation (3.2, Table 2). Figure 1 shows the image flow.</w:t>
            </w:r>
          </w:p>
        </w:tc>
        <w:tc>
          <w:tcPr/>
          <w:p>
            <w:pPr>
              <w:pStyle w:val="Compact"/>
              <w:spacing w:after="20" w:before="20" w:line="240" w:lineRule="auto"/>
              <w:jc w:val="left"/>
            </w:pPr>
            <w:r>
              <w:rPr>
                <w:sz w:val="18"/>
              </w:rPr>
              <w:t xml:space="preserve">3.1, 3.2, Tables 1–2, Figure 1</w:t>
            </w:r>
          </w:p>
        </w:tc>
      </w:tr>
      <w:tr>
        <w:tc>
          <w:tcPr/>
          <w:p>
            <w:pPr>
              <w:pStyle w:val="Compact"/>
              <w:spacing w:after="20" w:before="20" w:line="240" w:lineRule="auto"/>
              <w:jc w:val="left"/>
            </w:pPr>
            <w:r>
              <w:rPr>
                <w:sz w:val="18"/>
              </w:rPr>
              <w:t xml:space="preserve">3</w:t>
            </w:r>
          </w:p>
        </w:tc>
        <w:tc>
          <w:tcPr/>
          <w:p>
            <w:pPr>
              <w:pStyle w:val="Compact"/>
              <w:spacing w:after="20" w:before="20" w:line="240" w:lineRule="auto"/>
              <w:jc w:val="left"/>
            </w:pPr>
            <w:r>
              <w:rPr>
                <w:sz w:val="18"/>
              </w:rPr>
              <w:t xml:space="preserve">No train/validation/test partition, patient-level independence, hyperparameter protocol, or baseline architectures.</w:t>
            </w:r>
          </w:p>
        </w:tc>
        <w:tc>
          <w:tcPr/>
          <w:p>
            <w:pPr>
              <w:pStyle w:val="Compact"/>
              <w:spacing w:after="20" w:before="20" w:line="240" w:lineRule="auto"/>
              <w:jc w:val="left"/>
            </w:pPr>
            <w:r>
              <w:rPr>
                <w:sz w:val="18"/>
              </w:rPr>
              <w:t xml:space="preserve">Section 3.2 states the official TN3K fold-0 split (train 2,303 / validation 576) and the official test set (614), fixed by the dataset authors; the split is image-level because TN3K has no patient identifiers, which is stated as a limitation (6). Every tuning decision (α, β, γ, λ, τ, learner hyperparameters, threshold t*) is made on the validation partition only; the test partition is scored once after all choices are frozen (3.2, 3.8, 3.10). One backbone per seed produces all embeddings so that all rows share one embedding space (3.6). Grids and selected values are in Supplementary Table S2. Comparators with the same tuning budget are defined in 3.12: image-only CNN (same ResNet-18), descriptor-only XGBoost, CNN + XGBoost late fusion, and each base learner alone (a TI-RADS-alone baseline is impossible on TN3K, which has no TI-RADS category). Five seeds are run; the statistical analysis plan was fixed before testing (3.12, 3.13); seed-level results are in Supplementary Table S3. Code, configuration and the exact commands are released at https://github.com/Mrkomiljon/tames-ai (commit 4a863f5).</w:t>
            </w:r>
          </w:p>
        </w:tc>
        <w:tc>
          <w:tcPr/>
          <w:p>
            <w:pPr>
              <w:pStyle w:val="Compact"/>
              <w:spacing w:after="20" w:before="20" w:line="240" w:lineRule="auto"/>
              <w:jc w:val="left"/>
            </w:pPr>
            <w:r>
              <w:rPr>
                <w:sz w:val="18"/>
              </w:rPr>
              <w:t xml:space="preserve">3.2, 3.6, 3.8, 3.10, 3.12, 3.13, S2–S3</w:t>
            </w:r>
          </w:p>
        </w:tc>
      </w:tr>
      <w:tr>
        <w:tc>
          <w:tcPr/>
          <w:p>
            <w:pPr>
              <w:pStyle w:val="Compact"/>
              <w:spacing w:after="20" w:before="20" w:line="240" w:lineRule="auto"/>
              <w:jc w:val="left"/>
            </w:pPr>
            <w:r>
              <w:rPr>
                <w:sz w:val="18"/>
              </w:rPr>
              <w:t xml:space="preserve">4</w:t>
            </w:r>
          </w:p>
        </w:tc>
        <w:tc>
          <w:tcPr/>
          <w:p>
            <w:pPr>
              <w:pStyle w:val="Compact"/>
              <w:spacing w:after="20" w:before="20" w:line="240" w:lineRule="auto"/>
              <w:jc w:val="left"/>
            </w:pPr>
            <w:r>
              <w:rPr>
                <w:sz w:val="18"/>
              </w:rPr>
              <w:t xml:space="preserve">Equations in 3.3, 3.4, 3.5 and 3.7 are corrupted: syntax errors, missing operators, two subsections numbered 3.5, incomplete summation bounds.</w:t>
            </w:r>
          </w:p>
        </w:tc>
        <w:tc>
          <w:tcPr/>
          <w:p>
            <w:pPr>
              <w:pStyle w:val="Compact"/>
              <w:spacing w:after="20" w:before="20" w:line="240" w:lineRule="auto"/>
              <w:jc w:val="left"/>
            </w:pPr>
            <w:r>
              <w:rPr>
                <w:sz w:val="18"/>
              </w:rPr>
              <w:t xml:space="preserve">Section 3 is rewritten with a single notation table (3.3) and sixteen numbered equations (1)–(16). The duplicate 3.5 is removed; the two conflicting definitions of μ are replaced by one definition, Eq. (4). The exp syntax error is corrected. Each sum and extremum carries its index set. The corrupted symbols arose from a PDF conversion of an equation-editor file; the revised equations are typeset in LaTeX, implemented one-to-one in the released code (README equation map) and covered by unit tests of their stated ranges and limiting cases.</w:t>
            </w:r>
          </w:p>
        </w:tc>
        <w:tc>
          <w:tcPr/>
          <w:p>
            <w:pPr>
              <w:pStyle w:val="Compact"/>
              <w:spacing w:after="20" w:before="20" w:line="240" w:lineRule="auto"/>
              <w:jc w:val="left"/>
            </w:pPr>
            <w:r>
              <w:rPr>
                <w:sz w:val="18"/>
              </w:rPr>
              <w:t xml:space="preserve">3.3–3.10</w:t>
            </w:r>
          </w:p>
        </w:tc>
      </w:tr>
      <w:tr>
        <w:tc>
          <w:tcPr/>
          <w:p>
            <w:pPr>
              <w:pStyle w:val="Compact"/>
              <w:spacing w:after="20" w:before="20" w:line="240" w:lineRule="auto"/>
              <w:jc w:val="left"/>
            </w:pPr>
            <w:r>
              <w:rPr>
                <w:sz w:val="18"/>
              </w:rPr>
              <w:t xml:space="preserve">5a</w:t>
            </w:r>
          </w:p>
        </w:tc>
        <w:tc>
          <w:tcPr/>
          <w:p>
            <w:pPr>
              <w:pStyle w:val="Compact"/>
              <w:spacing w:after="20" w:before="20" w:line="240" w:lineRule="auto"/>
              <w:jc w:val="left"/>
            </w:pPr>
            <w:r>
              <w:rPr>
                <w:sz w:val="18"/>
              </w:rPr>
              <w:t xml:space="preserve">The central model Y = Decision(Σ λ_k M_k(Σ Q_i μ_i(x_i) T_i K_i E_i I_i A_i G_i F_i)) concatenates symbols that are never defined.</w:t>
            </w:r>
          </w:p>
        </w:tc>
        <w:tc>
          <w:tcPr/>
          <w:p>
            <w:pPr>
              <w:pStyle w:val="Compact"/>
              <w:spacing w:after="20" w:before="20" w:line="240" w:lineRule="auto"/>
              <w:jc w:val="left"/>
            </w:pPr>
            <w:r>
              <w:rPr>
                <w:sz w:val="18"/>
              </w:rPr>
              <w:t xml:space="preserve">That expression is withdrawn. The model is now Eqs. (9)–(16): a fused vector z (Eq. 11) built by concatenation, four base learners with defined outputs (3.7), a convex ensemble with weights given by Eq. (14), a regional prior-shift term (Eq. 15; equal to zero in the present experiment) and the decision rule of Eq. (16). Texture T and contrast K act only inside the pixel membership (Eq. 4); the former symbols E, I, A, G are replaced by the laboratory, clinical and regional vectors defined for clinical deployment in 3.2 and marked in Figure 2 as not evaluated here.</w:t>
            </w:r>
          </w:p>
        </w:tc>
        <w:tc>
          <w:tcPr/>
          <w:p>
            <w:pPr>
              <w:pStyle w:val="Compact"/>
              <w:spacing w:after="20" w:before="20" w:line="240" w:lineRule="auto"/>
              <w:jc w:val="left"/>
            </w:pPr>
            <w:r>
              <w:rPr>
                <w:sz w:val="18"/>
              </w:rPr>
              <w:t xml:space="preserve">3.3, 3.6–3.10, Figure 2</w:t>
            </w:r>
          </w:p>
        </w:tc>
      </w:tr>
      <w:tr>
        <w:tc>
          <w:tcPr/>
          <w:p>
            <w:pPr>
              <w:pStyle w:val="Compact"/>
              <w:spacing w:after="20" w:before="20" w:line="240" w:lineRule="auto"/>
              <w:jc w:val="left"/>
            </w:pPr>
            <w:r>
              <w:rPr>
                <w:sz w:val="18"/>
              </w:rPr>
              <w:t xml:space="preserve">5b</w:t>
            </w:r>
          </w:p>
        </w:tc>
        <w:tc>
          <w:tcPr/>
          <w:p>
            <w:pPr>
              <w:pStyle w:val="Compact"/>
              <w:spacing w:after="20" w:before="20" w:line="240" w:lineRule="auto"/>
              <w:jc w:val="left"/>
            </w:pPr>
            <w:r>
              <w:rPr>
                <w:sz w:val="18"/>
              </w:rPr>
              <w:t xml:space="preserve">The ATCFM membership function has malformed syntax (</w:t>
            </w:r>
            <w:r>
              <w:rPr>
                <w:sz w:val="18"/>
              </w:rPr>
              <w:t xml:space="preserve">“</w:t>
            </w:r>
            <w:r>
              <w:rPr>
                <w:sz w:val="18"/>
              </w:rPr>
              <w:t xml:space="preserve">exp +</w:t>
            </w:r>
            <w:r>
              <w:rPr>
                <w:sz w:val="18"/>
              </w:rPr>
              <w:t xml:space="preserve">”</w:t>
            </w:r>
            <w:r>
              <w:rPr>
                <w:sz w:val="18"/>
              </w:rPr>
              <w:t xml:space="preserve">).</w:t>
            </w:r>
          </w:p>
        </w:tc>
        <w:tc>
          <w:tcPr/>
          <w:p>
            <w:pPr>
              <w:pStyle w:val="Compact"/>
              <w:spacing w:after="20" w:before="20" w:line="240" w:lineRule="auto"/>
              <w:jc w:val="left"/>
            </w:pPr>
            <w:r>
              <w:rPr>
                <w:sz w:val="18"/>
              </w:rPr>
              <w:t xml:space="preserve">Corrected as Eq. (4), with a normalizing denominator (1+α)(1+β) so that μ(p) ∈ [0, 1], which the submitted form did not guarantee. T, K and q are defined in Eq. (3).</w:t>
            </w:r>
          </w:p>
        </w:tc>
        <w:tc>
          <w:tcPr/>
          <w:p>
            <w:pPr>
              <w:pStyle w:val="Compact"/>
              <w:spacing w:after="20" w:before="20" w:line="240" w:lineRule="auto"/>
              <w:jc w:val="left"/>
            </w:pPr>
            <w:r>
              <w:rPr>
                <w:sz w:val="18"/>
              </w:rPr>
              <w:t xml:space="preserve">3.4</w:t>
            </w:r>
          </w:p>
        </w:tc>
      </w:tr>
      <w:tr>
        <w:tc>
          <w:tcPr/>
          <w:p>
            <w:pPr>
              <w:pStyle w:val="Compact"/>
              <w:spacing w:after="20" w:before="20" w:line="240" w:lineRule="auto"/>
              <w:jc w:val="left"/>
            </w:pPr>
            <w:r>
              <w:rPr>
                <w:sz w:val="18"/>
              </w:rPr>
              <w:t xml:space="preserve">5c</w:t>
            </w:r>
          </w:p>
        </w:tc>
        <w:tc>
          <w:tcPr/>
          <w:p>
            <w:pPr>
              <w:pStyle w:val="Compact"/>
              <w:spacing w:after="20" w:before="20" w:line="240" w:lineRule="auto"/>
              <w:jc w:val="left"/>
            </w:pPr>
            <w:r>
              <w:rPr>
                <w:sz w:val="18"/>
              </w:rPr>
              <w:t xml:space="preserve">The fusion term Z and the filter F_AFM = λO(x) + (1−λ)C(x) leave O, C and the normalization undefined.</w:t>
            </w:r>
          </w:p>
        </w:tc>
        <w:tc>
          <w:tcPr/>
          <w:p>
            <w:pPr>
              <w:pStyle w:val="Compact"/>
              <w:spacing w:after="20" w:before="20" w:line="240" w:lineRule="auto"/>
              <w:jc w:val="left"/>
            </w:pPr>
            <w:r>
              <w:rPr>
                <w:sz w:val="18"/>
              </w:rPr>
              <w:t xml:space="preserve">Z is replaced by the concatenation of Eq. (11) with quality coefficients defined in Eq. (10); a weighted sum of vectors of different dimensions was ill-defined. O and C are the fuzzy opening and closing of Eq. (8), built from the reliability-weighted erosion and dilation of Eq. (7); all maps lie in [0, 1]. λ is selected on validation by Dice against the dataset masks (3.5); the selected value (λ = 0) and the resulting Dice (0.201 on test vs 0.120 for Otsu on the raw image) are reported in 5.2 and illustrated in Figure 3.</w:t>
            </w:r>
          </w:p>
        </w:tc>
        <w:tc>
          <w:tcPr/>
          <w:p>
            <w:pPr>
              <w:pStyle w:val="Compact"/>
              <w:spacing w:after="20" w:before="20" w:line="240" w:lineRule="auto"/>
              <w:jc w:val="left"/>
            </w:pPr>
            <w:r>
              <w:rPr>
                <w:sz w:val="18"/>
              </w:rPr>
              <w:t xml:space="preserve">3.5, 3.6, 5.2, Figure 3</w:t>
            </w:r>
          </w:p>
        </w:tc>
      </w:tr>
      <w:tr>
        <w:tc>
          <w:tcPr/>
          <w:p>
            <w:pPr>
              <w:pStyle w:val="Compact"/>
              <w:spacing w:after="20" w:before="20" w:line="240" w:lineRule="auto"/>
              <w:jc w:val="left"/>
            </w:pPr>
            <w:r>
              <w:rPr>
                <w:sz w:val="18"/>
              </w:rPr>
              <w:t xml:space="preserve">6</w:t>
            </w:r>
          </w:p>
        </w:tc>
        <w:tc>
          <w:tcPr/>
          <w:p>
            <w:pPr>
              <w:pStyle w:val="Compact"/>
              <w:spacing w:after="20" w:before="20" w:line="240" w:lineRule="auto"/>
              <w:jc w:val="left"/>
            </w:pPr>
            <w:r>
              <w:rPr>
                <w:sz w:val="18"/>
              </w:rPr>
              <w:t xml:space="preserve">(Implicit) The reliability weight w = 1 − σ_local could be negative and does not reduce the operator’s effect.</w:t>
            </w:r>
          </w:p>
        </w:tc>
        <w:tc>
          <w:tcPr/>
          <w:p>
            <w:pPr>
              <w:pStyle w:val="Compact"/>
              <w:spacing w:after="20" w:before="20" w:line="240" w:lineRule="auto"/>
              <w:jc w:val="left"/>
            </w:pPr>
            <w:r>
              <w:rPr>
                <w:sz w:val="18"/>
              </w:rPr>
              <w:t xml:space="preserve">Corrected: w(p) = 1 − σ(p)/max σ in Eq. (6), used as a convex-combination weight in Eq. (7), so that w = 0 leaves the pixel unchanged. The claimed behavior now follows from the definition.</w:t>
            </w:r>
          </w:p>
        </w:tc>
        <w:tc>
          <w:tcPr/>
          <w:p>
            <w:pPr>
              <w:pStyle w:val="Compact"/>
              <w:spacing w:after="20" w:before="20" w:line="240" w:lineRule="auto"/>
              <w:jc w:val="left"/>
            </w:pPr>
            <w:r>
              <w:rPr>
                <w:sz w:val="18"/>
              </w:rPr>
              <w:t xml:space="preserve">3.5</w:t>
            </w:r>
          </w:p>
        </w:tc>
      </w:tr>
      <w:tr>
        <w:tc>
          <w:tcPr/>
          <w:p>
            <w:pPr>
              <w:pStyle w:val="Compact"/>
              <w:spacing w:after="20" w:before="20" w:line="240" w:lineRule="auto"/>
              <w:jc w:val="left"/>
            </w:pPr>
            <w:r>
              <w:rPr>
                <w:sz w:val="18"/>
              </w:rPr>
              <w:t xml:space="preserve">7</w:t>
            </w:r>
          </w:p>
        </w:tc>
        <w:tc>
          <w:tcPr/>
          <w:p>
            <w:pPr>
              <w:pStyle w:val="Compact"/>
              <w:spacing w:after="20" w:before="20" w:line="240" w:lineRule="auto"/>
              <w:jc w:val="left"/>
            </w:pPr>
            <w:r>
              <w:rPr>
                <w:sz w:val="18"/>
              </w:rPr>
              <w:t xml:space="preserve">(Implicit) Dice is presented without a segmentation reference; p &lt; 0.05 is reported without statistics.</w:t>
            </w:r>
          </w:p>
        </w:tc>
        <w:tc>
          <w:tcPr/>
          <w:p>
            <w:pPr>
              <w:pStyle w:val="Compact"/>
              <w:spacing w:after="20" w:before="20" w:line="240" w:lineRule="auto"/>
              <w:jc w:val="left"/>
            </w:pPr>
            <w:r>
              <w:rPr>
                <w:sz w:val="18"/>
              </w:rPr>
              <w:t xml:space="preserve">Dice is reported only as a segmentation-stage metric of the fuzzy map against the TN3K reference masks (3.5, 5.2) and is removed from the classification table. Section 3.12 pre-specifies DeLong and exact McNemar tests, Holm correction and 2,000-resample bootstrap intervals, and Section 5 reports them: TAMES AI vs image-only CNN ΔAUC −0.015 [−0.032, +0.003], DeLong p = 0.10, Holm p = 0.50 with the expert delineation; +0.017 [−0.003, +0.037], p = 0.09, Holm p = 0.36 without it; vs late fusion +0.038 [+0.014, +0.061], p = 0.002, Holm p = 0.010; McNemar p = 0.69 and 0.90 for sensitivity and specificity at the fixed thresholds.</w:t>
            </w:r>
          </w:p>
        </w:tc>
        <w:tc>
          <w:tcPr/>
          <w:p>
            <w:pPr>
              <w:pStyle w:val="Compact"/>
              <w:spacing w:after="20" w:before="20" w:line="240" w:lineRule="auto"/>
              <w:jc w:val="left"/>
            </w:pPr>
            <w:r>
              <w:rPr>
                <w:sz w:val="18"/>
              </w:rPr>
              <w:t xml:space="preserve">3.5, 3.12, 5.2–5.5, Tables 3–5</w:t>
            </w:r>
          </w:p>
        </w:tc>
      </w:tr>
      <w:tr>
        <w:tc>
          <w:tcPr/>
          <w:p>
            <w:pPr>
              <w:pStyle w:val="Compact"/>
              <w:spacing w:after="20" w:before="20" w:line="240" w:lineRule="auto"/>
              <w:jc w:val="left"/>
            </w:pPr>
            <w:r>
              <w:rPr>
                <w:sz w:val="18"/>
              </w:rPr>
              <w:t xml:space="preserve">8</w:t>
            </w:r>
          </w:p>
        </w:tc>
        <w:tc>
          <w:tcPr/>
          <w:p>
            <w:pPr>
              <w:pStyle w:val="Compact"/>
              <w:spacing w:after="20" w:before="20" w:line="240" w:lineRule="auto"/>
              <w:jc w:val="left"/>
            </w:pPr>
            <w:r>
              <w:rPr>
                <w:sz w:val="18"/>
              </w:rPr>
              <w:t xml:space="preserve">(Implicit) Validated and proposed components are not distinguished.</w:t>
            </w:r>
          </w:p>
        </w:tc>
        <w:tc>
          <w:tcPr/>
          <w:p>
            <w:pPr>
              <w:pStyle w:val="Compact"/>
              <w:spacing w:after="20" w:before="20" w:line="240" w:lineRule="auto"/>
              <w:jc w:val="left"/>
            </w:pPr>
            <w:r>
              <w:rPr>
                <w:sz w:val="18"/>
              </w:rPr>
              <w:t xml:space="preserve">The manuscript now separates the proposed framework from what was evaluated, in the text (3.2, 3.9) and in Figure 2 (solid = evaluated on TN3K, dashed = defined but without data in TN3K). The previously reported figures (accuracy 97.2 %, AUC 0.981) are withdrawn and replaced by the TN3K results: AUC 0.815 vs 0.830 for the image-only CNN with the expert delineation (p = 0.10); 0.823 vs 0.805 (p = 0.09) and vs 0.785 for the late fusion (Holm p = 0.010) without it; the ensemble is the least robust model under synthetic noise, which the ablation traces to the quality gating and the fuzzy inputs (5.6, 6); it gives the best-calibrated probabilities (5.8). Prospective clinical validation is stated as future work, and the Conclusion says the results give no basis for clinical use.</w:t>
            </w:r>
          </w:p>
        </w:tc>
        <w:tc>
          <w:tcPr/>
          <w:p>
            <w:pPr>
              <w:pStyle w:val="Compact"/>
              <w:spacing w:after="20" w:before="20" w:line="240" w:lineRule="auto"/>
              <w:jc w:val="left"/>
            </w:pPr>
            <w:r>
              <w:rPr>
                <w:sz w:val="18"/>
              </w:rPr>
              <w:t xml:space="preserve">Abstract, 3.2, 3.9, 5, 6, 7, Figure 2</w:t>
            </w:r>
          </w:p>
        </w:tc>
      </w:tr>
    </w:tbl>
    <w:p>
      <w:pPr>
        <w:pStyle w:val="BodyText"/>
      </w:pPr>
      <w:r>
        <w:t xml:space="preserve">We believe the revised manuscript now allows the method to be reproduced and every claim to be checked, and we thank the reviewers for the time this required.</w:t>
      </w:r>
    </w:p>
    <w:p>
      <w:pPr>
        <w:pStyle w:val="BodyText"/>
      </w:pPr>
      <w:r>
        <w:t xml:space="preserve">Sincerely,</w:t>
      </w:r>
    </w:p>
    <w:p>
      <w:pPr>
        <w:pStyle w:val="BodyText"/>
      </w:pPr>
      <w:r>
        <w:t xml:space="preserve">[[Corresponding author, affiliation, e-mail]]</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0" w:line="288" w:lineRule="auto"/>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88" w:lineRule="auto"/>
      <w:outlineLvl w:val="0"/>
    </w:pPr>
    <w:rPr>
      <w:rFonts w:ascii="Times New Roman" w:asciiTheme="majorHAnsi" w:cs="Times New Roman" w:cstheme="majorBidi" w:eastAsia="Times New Roman" w:eastAsiaTheme="majorEastAsia" w:hAnsi="Times New Roman" w:hAnsiTheme="majorHAnsi"/>
      <w:b/>
      <w:bCs/>
      <w:i w:val="0"/>
      <w:color w:val="000000"/>
      <w:sz w:val="28"/>
      <w:szCs w:val="32"/>
    </w:rPr>
  </w:style>
  <w:style w:styleId="Heading2" w:type="paragraph">
    <w:name w:val="Heading 2"/>
    <w:basedOn w:val="Normal"/>
    <w:next w:val="BodyText"/>
    <w:uiPriority w:val="9"/>
    <w:unhideWhenUsed/>
    <w:qFormat/>
    <w:pPr>
      <w:keepNext/>
      <w:keepLines/>
      <w:spacing w:after="120" w:before="240" w:line="288"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40" w:line="288"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240" w:lineRule="auto"/>
    </w:pPr>
    <w:rPr>
      <w:rFonts w:ascii="Times New Roman" w:cs="Times New Roman" w:eastAsia="Times New Roman" w:hAnsi="Times New Roman"/>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80" w:line="276"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200" w:before="80" w:line="276"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80" w:line="276" w:lineRule="auto"/>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2026-10-15T12:08:57Z</dcterms:created>
  <dcterms:modified xsi:type="dcterms:W3CDTF">2026-10-15T12:08:57Z</dcterms:modified>
</cp:coreProperties>
</file>

<file path=docProps/custom.xml><?xml version="1.0" encoding="utf-8"?>
<Properties xmlns="http://schemas.openxmlformats.org/officeDocument/2006/custom-properties" xmlns:vt="http://schemas.openxmlformats.org/officeDocument/2006/docPropsVTypes"/>
</file>