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TAMES AI: An Adaptive Fuzzy, Multimodal Ensemble Model for Malignancy Risk Assessment of Thyroid Nodules</w:t>
      </w:r>
    </w:p>
    <w:p>
      <w:pPr>
        <w:pStyle w:val="FirstParagraph"/>
      </w:pPr>
      <w:r>
        <w:rPr>
          <w:b/>
          <w:bCs/>
        </w:rPr>
        <w:t xml:space="preserve">Article type:</w:t>
      </w:r>
      <w:r>
        <w:t xml:space="preserve"> </w:t>
      </w:r>
      <w:r>
        <w:t xml:space="preserve">Research Article</w:t>
      </w:r>
    </w:p>
    <w:p>
      <w:pPr>
        <w:pStyle w:val="BodyText"/>
      </w:pPr>
      <w:r>
        <w:rPr>
          <w:b/>
          <w:bCs/>
        </w:rPr>
        <w:t xml:space="preserve">Authors:</w:t>
      </w:r>
      <w:r>
        <w:t xml:space="preserve"> </w:t>
      </w:r>
      <w:r>
        <w:t xml:space="preserve">N. N. Zufarova¹, M. A. Mirzayev²</w:t>
      </w:r>
    </w:p>
    <w:p>
      <w:pPr>
        <w:pStyle w:val="BodyText"/>
      </w:pPr>
      <w:r>
        <w:t xml:space="preserve">¹ Muhammad al-Khwarizmi Tashkent University of Information Technologies, Tashkent, Uzbekistan ² Tashkent State University of Economics, Tashkent, Uzbekistan</w:t>
      </w:r>
    </w:p>
    <w:p>
      <w:pPr>
        <w:pStyle w:val="BodyText"/>
      </w:pPr>
      <w:r>
        <w:rPr>
          <w:b/>
          <w:bCs/>
        </w:rPr>
        <w:t xml:space="preserve">Corresponding author:</w:t>
      </w:r>
      <w:r>
        <w:t xml:space="preserve"> </w:t>
      </w:r>
      <w:r>
        <w:t xml:space="preserve">[[name, e-mail, ORCID]]</w:t>
      </w:r>
    </w:p>
    <w:p>
      <w:pPr>
        <w:pStyle w:val="Heading1"/>
      </w:pPr>
      <w:bookmarkStart w:id="9" w:name="_abstract"/>
      <w:r>
        <w:t xml:space="preserve">Abstract</w:t>
      </w:r>
      <w:bookmarkEnd w:id="9"/>
    </w:p>
    <w:p>
      <w:pPr>
        <w:pStyle w:val="FirstParagraph"/>
      </w:pPr>
      <w:r>
        <w:rPr>
          <w:b/>
          <w:bCs/>
        </w:rPr>
        <w:t xml:space="preserve">Background.</w:t>
      </w:r>
      <w:r>
        <w:t xml:space="preserve"> </w:t>
      </w:r>
      <w:r>
        <w:t xml:space="preserve">Malignancy risk stratification of thyroid nodules rests on ultrasound features that are graded, observer-dependent and acquired under variable image quality, and in Central Asia it is further shaped by iodine deficiency. We propose TAMES AI (Thyroid AI Malignancy Evaluation System), a clinical decision-support framework that represents this uncertainty explicitly, from the pixel level to the final decision, with adaptive fuzzy set theory and a hybrid machine-learning ensemble, and we evaluate the part of the framework that a public dataset allows.</w:t>
      </w:r>
    </w:p>
    <w:p>
      <w:pPr>
        <w:pStyle w:val="BodyText"/>
      </w:pPr>
      <w:r>
        <w:rPr>
          <w:b/>
          <w:bCs/>
        </w:rPr>
        <w:t xml:space="preserve">Methods.</w:t>
      </w:r>
      <w:r>
        <w:t xml:space="preserve"> </w:t>
      </w:r>
      <w:r>
        <w:t xml:space="preserve">The model was developed and tested on the public TN3K dataset (3,493 B-mode ultrasound images with radiologist nodule masks and benign/malignant labels; official split: 2,303 training, 576 validation, 614 test images). Images were processed with an adaptive texture–contrast fuzzy membership function and reliability-weighted fuzzy morphological operations; a ResNet-18 embedding of the image and the fuzzy map was fused with eleven sonographic descriptors computed from the nodule delineation, each modality weighted by a data-quality coefficient; four learners (deep network, random forest, XGBoost, fuzzy SVM) were combined with validation-loss-dependent weights. Laboratory, clinical and regional inputs are defined by the framework but are not available in TN3K and were not evaluated. Comparators were an image-only CNN, a descriptor-only XGBoost and a CNN + XGBoost late fusion, under a pre-specified plan (DeLong, exact McNemar, Holm correction, 2,000-resample bootstrap intervals, five seeds). Three further experiments tested the framework where its assumptions matter: inference without the expert mask (fully automatic delineation by the fuzzy map), synthetic image degradation, and reduced training data.</w:t>
      </w:r>
    </w:p>
    <w:p>
      <w:pPr>
        <w:pStyle w:val="BodyText"/>
      </w:pPr>
      <w:r>
        <w:rPr>
          <w:b/>
          <w:bCs/>
        </w:rPr>
        <w:t xml:space="preserve">Results.</w:t>
      </w:r>
      <w:r>
        <w:t xml:space="preserve"> </w:t>
      </w:r>
      <w:r>
        <w:t xml:space="preserve">With the expert delineation, TAMES AI reached a test AUC of 0.815 [95 % CI 0.779–0.848], not better than the image-only CNN (0.830 [0.794–0.861]; DeLong p = 0.10) or the late fusion (0.802 [0.767–0.837]; p = 0.24), and no component changed the AUC by more than 0.014 in ablation. Without the expert delineation, TAMES AI kept its accuracy (0.823 [0.787–0.855]) while the image-only CNN fell to 0.805 [0.770–0.839] (p = 0.09) and the late fusion to 0.785 [0.747–0.820] (p = 0.002, Holm-corrected 0.010). Under synthetic noise, blur and contrast loss, TAMES AI lost the most AUC of all models (mean drop 0.091 vs 0.034 for the image-only CNN); removing the quality coefficients reduced the drop to 0.059. With 10–50 % of the training data no model held an advantage. TAMES AI was the best-calibrated model (slope 1.07, intercept 0.16). The fuzzy map improved nodule segmentation over Otsu thresholding (Dice 0.201 vs 0.120), the SHAP ranking was stable across resamples, and Grad-CAM maps were more faithful than a random control on insertion but not on deletion.</w:t>
      </w:r>
    </w:p>
    <w:p>
      <w:pPr>
        <w:pStyle w:val="BodyText"/>
      </w:pPr>
      <w:r>
        <w:rPr>
          <w:b/>
          <w:bCs/>
        </w:rPr>
        <w:t xml:space="preserve">Conclusions.</w:t>
      </w:r>
      <w:r>
        <w:t xml:space="preserve"> </w:t>
      </w:r>
      <w:r>
        <w:t xml:space="preserve">On clean images with an expert delineation, explicit uncertainty modelling adds nothing a convolutional network does not already learn. Its accuracy, unlike the network’s, did not depend on an expert delineation, and it was better calibrated; but multiplicative quality gating and the fuzzy channel itself are liabilities under heavy noise. The framework is released as reproducible code; its laboratory, clinical and regional branches await evaluation on clinical cohorts.</w:t>
      </w:r>
    </w:p>
    <w:p>
      <w:pPr>
        <w:pStyle w:val="BodyText"/>
      </w:pPr>
      <w:r>
        <w:rPr>
          <w:b/>
          <w:bCs/>
        </w:rPr>
        <w:t xml:space="preserve">Keywords:</w:t>
      </w:r>
      <w:r>
        <w:t xml:space="preserve"> </w:t>
      </w:r>
      <w:r>
        <w:t xml:space="preserve">thyroid nodule; thyroid cancer; ultrasound; adaptive fuzzy set theory; fuzzy morphology; multimodal learning; ensemble learning; explainable artificial intelligence; clinical decision support.</w:t>
      </w:r>
    </w:p>
    <w:p>
      <w:pPr>
        <w:pStyle w:val="Heading1"/>
      </w:pPr>
      <w:bookmarkStart w:id="10" w:name="_introduction"/>
      <w:r>
        <w:t xml:space="preserve">1. Introduction</w:t>
      </w:r>
      <w:bookmarkEnd w:id="10"/>
    </w:p>
    <w:p>
      <w:pPr>
        <w:pStyle w:val="FirstParagraph"/>
      </w:pPr>
      <w:r>
        <w:t xml:space="preserve">Thyroid nodules are common, and only a small fraction are malignant; the clinical task is to find that fraction without operating on the rest. Current practice relies on ultrasonography graded with the ACR TI-RADS lexicon, laboratory testing, and fine-needle aspiration cytology reported in the Bethesda system [1–3]. Each step carries uncertainty. Ultrasound features such as margin irregularity or echogenicity are judged by eye and vary between readers; laboratory values fluctuate; and cytology returns an indeterminate result (Bethesda III–IV) in roughly a fifth of aspirates, a group in which the malignancy rate is too high to ignore and too low to justify surgery for all [3]. The consequences are diagnostic surgery for benign disease on one side and delayed cancer diagnosis on the other.</w:t>
      </w:r>
    </w:p>
    <w:p>
      <w:pPr>
        <w:pStyle w:val="BodyText"/>
      </w:pPr>
      <w:r>
        <w:t xml:space="preserve">Artificial intelligence has been applied to this problem with promising results. Convolutional networks trained on B-mode images classify nodules with accuracy approaching that of experienced radiologists in meta-analyses [4–6]. Three limitations persist. First, most systems use imaging alone and ignore the laboratory and clinical context that the physician has in hand. Second, they treat every input as crisp, although the underlying observations are graded and uncertain; fuzzy set theory offers a mathematical language for exactly this situation [7], but its combination with modern multimodal learning remains little explored. Third, models developed on European, North American or East Asian cohorts have not been shown to transfer to Central Asia, where iodine deficiency and regional epidemiology alter both the prevalence and the sonographic appearance of thyroid disease. Explainability adds a fourth requirement: a probability without a rationale is difficult for a clinician to act on, and post-hoc attribution methods such as SHAP and Grad-CAM are now expected in clinical AI reporting [8, 9].</w:t>
      </w:r>
    </w:p>
    <w:p>
      <w:pPr>
        <w:pStyle w:val="BodyText"/>
      </w:pPr>
      <w:r>
        <w:t xml:space="preserve">This study addresses these limitations with TAMES AI (Thyroid AI Malignancy Evaluation System). The framework (i) represents pixel-level uncertainty with an adaptive texture–contrast fuzzy membership function and reliability-weighted fuzzy morphological operations; (ii) fuses the image embedding with structured inputs, each weighted by an explicit data-quality coefficient; (iii) combines a deep network, a random forest, gradient-boosted trees and a fuzzy support vector machine through validation-loss-dependent ensemble weights; (iv) admits regional prevalence as a Bayesian prior-shift correction; and (v) delivers SHAP and Grad-CAM explanations whose faithfulness is itself measured.</w:t>
      </w:r>
    </w:p>
    <w:p>
      <w:pPr>
        <w:pStyle w:val="BodyText"/>
      </w:pPr>
      <w:r>
        <w:t xml:space="preserve">The aim was to evaluate the part of this framework that a public dataset allows, under a pre-specified and fully reproducible protocol. On TN3K [35–37], the largest public thyroid ultrasound dataset with nodule delineations and malignancy labels, we instantiate the structured branch with sonographic descriptors computed from the delineation (no laboratory, clinical or regional variables exist in TN3K) and ask four questions: whether the uncertainty-aware model outperforms an image-only network and a conventional late fusion when an expert delineation is available; whether it does so when the delineation is produced automatically by the fuzzy map; how it behaves under degraded image quality; and how it behaves with little training data. The study is reported according to TRIPOD+AI and CLAIM.</w:t>
      </w:r>
    </w:p>
    <w:p>
      <w:pPr>
        <w:pStyle w:val="Heading1"/>
      </w:pPr>
      <w:bookmarkStart w:id="11" w:name="_f201d7344c4e7a25e2158632d069f0d55dfa90f"/>
      <w:r>
        <w:t xml:space="preserve">2. Related Work and Research Gap</w:t>
      </w:r>
      <w:bookmarkEnd w:id="11"/>
    </w:p>
    <w:p>
      <w:pPr>
        <w:pStyle w:val="FirstParagraph"/>
      </w:pPr>
      <w:r>
        <w:rPr>
          <w:b/>
          <w:bCs/>
        </w:rPr>
        <w:t xml:space="preserve">Imaging-based deep learning.</w:t>
      </w:r>
      <w:r>
        <w:t xml:space="preserve"> </w:t>
      </w:r>
      <w:r>
        <w:t xml:space="preserve">Convolutional networks [10] and residual architectures [11] have been trained to classify thyroid nodules from B-mode ultrasound, and encoder–decoder networks derived from U-Net [12] to segment them. A model built on ACR TI-RADS descriptors matched radiologist performance in a large single-center series [13], and evolutionary encoder–decoder designs have improved nodule segmentation [14]. Pooled analyses report AUC values above 0.90 for image-only classifiers [4–6], but performance drops when models are applied to other scanners or populations, and a recent two-center external validation documented this gap [15].</w:t>
      </w:r>
    </w:p>
    <w:p>
      <w:pPr>
        <w:pStyle w:val="BodyText"/>
      </w:pPr>
      <w:r>
        <w:rPr>
          <w:b/>
          <w:bCs/>
        </w:rPr>
        <w:t xml:space="preserve">Structured machine learning.</w:t>
      </w:r>
      <w:r>
        <w:t xml:space="preserve"> </w:t>
      </w:r>
      <w:r>
        <w:t xml:space="preserve">Random forests [16], gradient-boosted trees [17], support vector machines and logistic regression have been applied to clinical, laboratory and sonographic descriptors, and a 2025 meta-analysis found that models built on ultrasound characteristics alone are competitive with image-based networks [18]. These methods use the full clinical record but treat ordinal and graded inputs as crisp values. The fuzzy support vector machine [19] relaxes this by attaching a membership to every training sample, yet it has rarely been used in thyroid diagnosis.</w:t>
      </w:r>
    </w:p>
    <w:p>
      <w:pPr>
        <w:pStyle w:val="BodyText"/>
      </w:pPr>
      <w:r>
        <w:rPr>
          <w:b/>
          <w:bCs/>
        </w:rPr>
        <w:t xml:space="preserve">Fuzzy and uncertainty-aware approaches.</w:t>
      </w:r>
      <w:r>
        <w:t xml:space="preserve"> </w:t>
      </w:r>
      <w:r>
        <w:t xml:space="preserve">Fuzzy set theory [7] models linguistic categories such as</w:t>
      </w:r>
      <w:r>
        <w:t xml:space="preserve"> </w:t>
      </w:r>
      <w:r>
        <w:t xml:space="preserve">“mildly hypoechoic”</w:t>
      </w:r>
      <w:r>
        <w:t xml:space="preserve"> </w:t>
      </w:r>
      <w:r>
        <w:t xml:space="preserve">directly. Adaptive membership functions, whose parameters follow the local statistics of the data, extend this to image preprocessing. Uncertainty-aware multimodal deep networks have recently been proposed for thyroid ultrasound [20], but a model that carries uncertainty from the pixel level through feature fusion to the final decision has not been reported.</w:t>
      </w:r>
    </w:p>
    <w:p>
      <w:pPr>
        <w:pStyle w:val="BodyText"/>
      </w:pPr>
      <w:r>
        <w:rPr>
          <w:b/>
          <w:bCs/>
        </w:rPr>
        <w:t xml:space="preserve">Multimodal fusion.</w:t>
      </w:r>
      <w:r>
        <w:t xml:space="preserve"> </w:t>
      </w:r>
      <w:r>
        <w:t xml:space="preserve">Combining deep image features with clinical variables improves prediction over either source alone [21, 22]. Most published fusions are late fusions of two models; few weight each modality by its measured quality or handle missing laboratory values explicitly.</w:t>
      </w:r>
    </w:p>
    <w:p>
      <w:pPr>
        <w:pStyle w:val="BodyText"/>
      </w:pPr>
      <w:r>
        <w:rPr>
          <w:b/>
          <w:bCs/>
        </w:rPr>
        <w:t xml:space="preserve">Explainability and reporting.</w:t>
      </w:r>
      <w:r>
        <w:t xml:space="preserve"> </w:t>
      </w:r>
      <w:r>
        <w:t xml:space="preserve">SHAP [8] and Grad-CAM [9] are the dominant attribution methods in clinical AI; regulators expect them in software-as-a-medical-device submissions [23], and reporting guidelines for prediction models [24] and imaging AI [25] now require that explanation quality be evaluated rather than assumed.</w:t>
      </w:r>
    </w:p>
    <w:tbl>
      <w:tblPr>
        <w:tblStyle w:val="Table"/>
        <w:tblW w:type="pct" w:w="5000"/>
        <w:tblLayout w:type="fixed"/>
        <w:tblLook w:firstRow="1" w:lastRow="0" w:firstColumn="0" w:lastColumn="0" w:noHBand="0" w:noVBand="0" w:val="0020"/>
      </w:tblPr>
      <w:tblGrid>
        <w:gridCol w:w="1377"/>
        <w:gridCol w:w="1377"/>
        <w:gridCol w:w="1377"/>
        <w:gridCol w:w="1377"/>
        <w:gridCol w:w="1377"/>
        <w:gridCol w:w="1033"/>
      </w:tblGrid>
      <w:tr>
        <w:trPr>
          <w:tblHeader w:val="on"/>
        </w:trPr>
        <w:tc>
          <w:tcPr/>
          <w:p>
            <w:pPr>
              <w:pStyle w:val="Compact"/>
              <w:spacing w:after="20" w:before="20" w:line="240" w:lineRule="auto"/>
            </w:pPr>
            <w:r>
              <w:rPr>
                <w:sz w:val="18"/>
              </w:rPr>
              <w:t xml:space="preserve">Approach family</w:t>
            </w:r>
          </w:p>
        </w:tc>
        <w:tc>
          <w:tcPr/>
          <w:p>
            <w:pPr>
              <w:pStyle w:val="Compact"/>
              <w:spacing w:after="20" w:before="20" w:line="240" w:lineRule="auto"/>
            </w:pPr>
            <w:r>
              <w:rPr>
                <w:sz w:val="18"/>
              </w:rPr>
              <w:t xml:space="preserve">Inputs</w:t>
            </w:r>
          </w:p>
        </w:tc>
        <w:tc>
          <w:tcPr/>
          <w:p>
            <w:pPr>
              <w:pStyle w:val="Compact"/>
              <w:spacing w:after="20" w:before="20" w:line="240" w:lineRule="auto"/>
            </w:pPr>
            <w:r>
              <w:rPr>
                <w:sz w:val="18"/>
              </w:rPr>
              <w:t xml:space="preserve">Uncertainty handling</w:t>
            </w:r>
          </w:p>
        </w:tc>
        <w:tc>
          <w:tcPr/>
          <w:p>
            <w:pPr>
              <w:pStyle w:val="Compact"/>
              <w:spacing w:after="20" w:before="20" w:line="240" w:lineRule="auto"/>
            </w:pPr>
            <w:r>
              <w:rPr>
                <w:sz w:val="18"/>
              </w:rPr>
              <w:t xml:space="preserve">Regional adaptation</w:t>
            </w:r>
          </w:p>
        </w:tc>
        <w:tc>
          <w:tcPr/>
          <w:p>
            <w:pPr>
              <w:pStyle w:val="Compact"/>
              <w:spacing w:after="20" w:before="20" w:line="240" w:lineRule="auto"/>
            </w:pPr>
            <w:r>
              <w:rPr>
                <w:sz w:val="18"/>
              </w:rPr>
              <w:t xml:space="preserve">Explainability</w:t>
            </w:r>
          </w:p>
        </w:tc>
        <w:tc>
          <w:tcPr/>
          <w:p>
            <w:pPr>
              <w:pStyle w:val="Compact"/>
              <w:spacing w:after="20" w:before="20" w:line="240" w:lineRule="auto"/>
            </w:pPr>
            <w:r>
              <w:rPr>
                <w:sz w:val="18"/>
              </w:rPr>
              <w:t xml:space="preserve">Representative work</w:t>
            </w:r>
          </w:p>
        </w:tc>
      </w:tr>
      <w:tr>
        <w:tc>
          <w:tcPr/>
          <w:p>
            <w:pPr>
              <w:pStyle w:val="Compact"/>
              <w:spacing w:after="20" w:before="20" w:line="240" w:lineRule="auto"/>
            </w:pPr>
            <w:r>
              <w:rPr>
                <w:sz w:val="18"/>
              </w:rPr>
              <w:t xml:space="preserve">Image-only CNN</w:t>
            </w:r>
          </w:p>
        </w:tc>
        <w:tc>
          <w:tcPr/>
          <w:p>
            <w:pPr>
              <w:pStyle w:val="Compact"/>
              <w:spacing w:after="20" w:before="20" w:line="240" w:lineRule="auto"/>
            </w:pPr>
            <w:r>
              <w:rPr>
                <w:sz w:val="18"/>
              </w:rPr>
              <w:t xml:space="preserve">ultrasound</w:t>
            </w:r>
          </w:p>
        </w:tc>
        <w:tc>
          <w:tcPr/>
          <w:p>
            <w:pPr>
              <w:pStyle w:val="Compact"/>
              <w:spacing w:after="20" w:before="20" w:line="240" w:lineRule="auto"/>
            </w:pPr>
            <w:r>
              <w:rPr>
                <w:sz w:val="18"/>
              </w:rPr>
              <w:t xml:space="preserve">none</w:t>
            </w:r>
          </w:p>
        </w:tc>
        <w:tc>
          <w:tcPr/>
          <w:p>
            <w:pPr>
              <w:pStyle w:val="Compact"/>
              <w:spacing w:after="20" w:before="20" w:line="240" w:lineRule="auto"/>
            </w:pPr>
            <w:r>
              <w:rPr>
                <w:sz w:val="18"/>
              </w:rPr>
              <w:t xml:space="preserve">none</w:t>
            </w:r>
          </w:p>
        </w:tc>
        <w:tc>
          <w:tcPr/>
          <w:p>
            <w:pPr>
              <w:pStyle w:val="Compact"/>
              <w:spacing w:after="20" w:before="20" w:line="240" w:lineRule="auto"/>
            </w:pPr>
            <w:r>
              <w:rPr>
                <w:sz w:val="18"/>
              </w:rPr>
              <w:t xml:space="preserve">Grad-CAM, sometimes</w:t>
            </w:r>
          </w:p>
        </w:tc>
        <w:tc>
          <w:tcPr/>
          <w:p>
            <w:pPr>
              <w:pStyle w:val="Compact"/>
              <w:spacing w:after="20" w:before="20" w:line="240" w:lineRule="auto"/>
            </w:pPr>
            <w:r>
              <w:rPr>
                <w:sz w:val="18"/>
              </w:rPr>
              <w:t xml:space="preserve">[4–6, 11, 13]</w:t>
            </w:r>
          </w:p>
        </w:tc>
      </w:tr>
      <w:tr>
        <w:tc>
          <w:tcPr/>
          <w:p>
            <w:pPr>
              <w:pStyle w:val="Compact"/>
              <w:spacing w:after="20" w:before="20" w:line="240" w:lineRule="auto"/>
            </w:pPr>
            <w:r>
              <w:rPr>
                <w:sz w:val="18"/>
              </w:rPr>
              <w:t xml:space="preserve">Structured ML</w:t>
            </w:r>
          </w:p>
        </w:tc>
        <w:tc>
          <w:tcPr/>
          <w:p>
            <w:pPr>
              <w:pStyle w:val="Compact"/>
              <w:spacing w:after="20" w:before="20" w:line="240" w:lineRule="auto"/>
            </w:pPr>
            <w:r>
              <w:rPr>
                <w:sz w:val="18"/>
              </w:rPr>
              <w:t xml:space="preserve">clinical, laboratory, descriptors</w:t>
            </w:r>
          </w:p>
        </w:tc>
        <w:tc>
          <w:tcPr/>
          <w:p>
            <w:pPr>
              <w:pStyle w:val="Compact"/>
              <w:spacing w:after="20" w:before="20" w:line="240" w:lineRule="auto"/>
            </w:pPr>
            <w:r>
              <w:rPr>
                <w:sz w:val="18"/>
              </w:rPr>
              <w:t xml:space="preserve">none</w:t>
            </w:r>
          </w:p>
        </w:tc>
        <w:tc>
          <w:tcPr/>
          <w:p>
            <w:pPr>
              <w:pStyle w:val="Compact"/>
              <w:spacing w:after="20" w:before="20" w:line="240" w:lineRule="auto"/>
            </w:pPr>
            <w:r>
              <w:rPr>
                <w:sz w:val="18"/>
              </w:rPr>
              <w:t xml:space="preserve">none</w:t>
            </w:r>
          </w:p>
        </w:tc>
        <w:tc>
          <w:tcPr/>
          <w:p>
            <w:pPr>
              <w:pStyle w:val="Compact"/>
              <w:spacing w:after="20" w:before="20" w:line="240" w:lineRule="auto"/>
            </w:pPr>
            <w:r>
              <w:rPr>
                <w:sz w:val="18"/>
              </w:rPr>
              <w:t xml:space="preserve">feature importance</w:t>
            </w:r>
          </w:p>
        </w:tc>
        <w:tc>
          <w:tcPr/>
          <w:p>
            <w:pPr>
              <w:pStyle w:val="Compact"/>
              <w:spacing w:after="20" w:before="20" w:line="240" w:lineRule="auto"/>
            </w:pPr>
            <w:r>
              <w:rPr>
                <w:sz w:val="18"/>
              </w:rPr>
              <w:t xml:space="preserve">[16–18]</w:t>
            </w:r>
          </w:p>
        </w:tc>
      </w:tr>
      <w:tr>
        <w:tc>
          <w:tcPr/>
          <w:p>
            <w:pPr>
              <w:pStyle w:val="Compact"/>
              <w:spacing w:after="20" w:before="20" w:line="240" w:lineRule="auto"/>
            </w:pPr>
            <w:r>
              <w:rPr>
                <w:sz w:val="18"/>
              </w:rPr>
              <w:t xml:space="preserve">Fuzzy SVM</w:t>
            </w:r>
          </w:p>
        </w:tc>
        <w:tc>
          <w:tcPr/>
          <w:p>
            <w:pPr>
              <w:pStyle w:val="Compact"/>
              <w:spacing w:after="20" w:before="20" w:line="240" w:lineRule="auto"/>
            </w:pPr>
            <w:r>
              <w:rPr>
                <w:sz w:val="18"/>
              </w:rPr>
              <w:t xml:space="preserve">structured</w:t>
            </w:r>
          </w:p>
        </w:tc>
        <w:tc>
          <w:tcPr/>
          <w:p>
            <w:pPr>
              <w:pStyle w:val="Compact"/>
              <w:spacing w:after="20" w:before="20" w:line="240" w:lineRule="auto"/>
            </w:pPr>
            <w:r>
              <w:rPr>
                <w:sz w:val="18"/>
              </w:rPr>
              <w:t xml:space="preserve">sample membership</w:t>
            </w:r>
          </w:p>
        </w:tc>
        <w:tc>
          <w:tcPr/>
          <w:p>
            <w:pPr>
              <w:pStyle w:val="Compact"/>
              <w:spacing w:after="20" w:before="20" w:line="240" w:lineRule="auto"/>
            </w:pPr>
            <w:r>
              <w:rPr>
                <w:sz w:val="18"/>
              </w:rPr>
              <w:t xml:space="preserve">none</w:t>
            </w:r>
          </w:p>
        </w:tc>
        <w:tc>
          <w:tcPr/>
          <w:p>
            <w:pPr>
              <w:pStyle w:val="Compact"/>
              <w:spacing w:after="20" w:before="20" w:line="240" w:lineRule="auto"/>
            </w:pPr>
            <w:r>
              <w:rPr>
                <w:sz w:val="18"/>
              </w:rPr>
              <w:t xml:space="preserve">none</w:t>
            </w:r>
          </w:p>
        </w:tc>
        <w:tc>
          <w:tcPr/>
          <w:p>
            <w:pPr>
              <w:pStyle w:val="Compact"/>
              <w:spacing w:after="20" w:before="20" w:line="240" w:lineRule="auto"/>
            </w:pPr>
            <w:r>
              <w:rPr>
                <w:sz w:val="18"/>
              </w:rPr>
              <w:t xml:space="preserve">[19]</w:t>
            </w:r>
          </w:p>
        </w:tc>
      </w:tr>
      <w:tr>
        <w:tc>
          <w:tcPr/>
          <w:p>
            <w:pPr>
              <w:pStyle w:val="Compact"/>
              <w:spacing w:after="20" w:before="20" w:line="240" w:lineRule="auto"/>
            </w:pPr>
            <w:r>
              <w:rPr>
                <w:sz w:val="18"/>
              </w:rPr>
              <w:t xml:space="preserve">Late multimodal fusion</w:t>
            </w:r>
          </w:p>
        </w:tc>
        <w:tc>
          <w:tcPr/>
          <w:p>
            <w:pPr>
              <w:pStyle w:val="Compact"/>
              <w:spacing w:after="20" w:before="20" w:line="240" w:lineRule="auto"/>
            </w:pPr>
            <w:r>
              <w:rPr>
                <w:sz w:val="18"/>
              </w:rPr>
              <w:t xml:space="preserve">image + clinical</w:t>
            </w:r>
          </w:p>
        </w:tc>
        <w:tc>
          <w:tcPr/>
          <w:p>
            <w:pPr>
              <w:pStyle w:val="Compact"/>
              <w:spacing w:after="20" w:before="20" w:line="240" w:lineRule="auto"/>
            </w:pPr>
            <w:r>
              <w:rPr>
                <w:sz w:val="18"/>
              </w:rPr>
              <w:t xml:space="preserve">none</w:t>
            </w:r>
          </w:p>
        </w:tc>
        <w:tc>
          <w:tcPr/>
          <w:p>
            <w:pPr>
              <w:pStyle w:val="Compact"/>
              <w:spacing w:after="20" w:before="20" w:line="240" w:lineRule="auto"/>
            </w:pPr>
            <w:r>
              <w:rPr>
                <w:sz w:val="18"/>
              </w:rPr>
              <w:t xml:space="preserve">none</w:t>
            </w:r>
          </w:p>
        </w:tc>
        <w:tc>
          <w:tcPr/>
          <w:p>
            <w:pPr>
              <w:pStyle w:val="Compact"/>
              <w:spacing w:after="20" w:before="20" w:line="240" w:lineRule="auto"/>
            </w:pPr>
            <w:r>
              <w:rPr>
                <w:sz w:val="18"/>
              </w:rPr>
              <w:t xml:space="preserve">SHAP on tabular part</w:t>
            </w:r>
          </w:p>
        </w:tc>
        <w:tc>
          <w:tcPr/>
          <w:p>
            <w:pPr>
              <w:pStyle w:val="Compact"/>
              <w:spacing w:after="20" w:before="20" w:line="240" w:lineRule="auto"/>
            </w:pPr>
            <w:r>
              <w:rPr>
                <w:sz w:val="18"/>
              </w:rPr>
              <w:t xml:space="preserve">[21, 22]</w:t>
            </w:r>
          </w:p>
        </w:tc>
      </w:tr>
      <w:tr>
        <w:tc>
          <w:tcPr/>
          <w:p>
            <w:pPr>
              <w:pStyle w:val="Compact"/>
              <w:spacing w:after="20" w:before="20" w:line="240" w:lineRule="auto"/>
            </w:pPr>
            <w:r>
              <w:rPr>
                <w:sz w:val="18"/>
              </w:rPr>
              <w:t xml:space="preserve">Uncertainty-aware multimodal DL</w:t>
            </w:r>
          </w:p>
        </w:tc>
        <w:tc>
          <w:tcPr/>
          <w:p>
            <w:pPr>
              <w:pStyle w:val="Compact"/>
              <w:spacing w:after="20" w:before="20" w:line="240" w:lineRule="auto"/>
            </w:pPr>
            <w:r>
              <w:rPr>
                <w:sz w:val="18"/>
              </w:rPr>
              <w:t xml:space="preserve">image + clinical</w:t>
            </w:r>
          </w:p>
        </w:tc>
        <w:tc>
          <w:tcPr/>
          <w:p>
            <w:pPr>
              <w:pStyle w:val="Compact"/>
              <w:spacing w:after="20" w:before="20" w:line="240" w:lineRule="auto"/>
            </w:pPr>
            <w:r>
              <w:rPr>
                <w:sz w:val="18"/>
              </w:rPr>
              <w:t xml:space="preserve">evidential or Bayesian output</w:t>
            </w:r>
          </w:p>
        </w:tc>
        <w:tc>
          <w:tcPr/>
          <w:p>
            <w:pPr>
              <w:pStyle w:val="Compact"/>
              <w:spacing w:after="20" w:before="20" w:line="240" w:lineRule="auto"/>
            </w:pPr>
            <w:r>
              <w:rPr>
                <w:sz w:val="18"/>
              </w:rPr>
              <w:t xml:space="preserve">none</w:t>
            </w:r>
          </w:p>
        </w:tc>
        <w:tc>
          <w:tcPr/>
          <w:p>
            <w:pPr>
              <w:pStyle w:val="Compact"/>
              <w:spacing w:after="20" w:before="20" w:line="240" w:lineRule="auto"/>
            </w:pPr>
            <w:r>
              <w:rPr>
                <w:sz w:val="18"/>
              </w:rPr>
              <w:t xml:space="preserve">attention maps</w:t>
            </w:r>
          </w:p>
        </w:tc>
        <w:tc>
          <w:tcPr/>
          <w:p>
            <w:pPr>
              <w:pStyle w:val="Compact"/>
              <w:spacing w:after="20" w:before="20" w:line="240" w:lineRule="auto"/>
            </w:pPr>
            <w:r>
              <w:rPr>
                <w:sz w:val="18"/>
              </w:rPr>
              <w:t xml:space="preserve">[20]</w:t>
            </w:r>
          </w:p>
        </w:tc>
      </w:tr>
      <w:tr>
        <w:tc>
          <w:tcPr/>
          <w:p>
            <w:pPr>
              <w:pStyle w:val="Compact"/>
              <w:spacing w:after="20" w:before="20" w:line="240" w:lineRule="auto"/>
            </w:pPr>
            <w:r>
              <w:rPr>
                <w:sz w:val="18"/>
              </w:rPr>
              <w:t xml:space="preserve">TAMES AI (this work)</w:t>
            </w:r>
          </w:p>
        </w:tc>
        <w:tc>
          <w:tcPr/>
          <w:p>
            <w:pPr>
              <w:pStyle w:val="Compact"/>
              <w:spacing w:after="20" w:before="20" w:line="240" w:lineRule="auto"/>
            </w:pPr>
            <w:r>
              <w:rPr>
                <w:sz w:val="18"/>
              </w:rPr>
              <w:t xml:space="preserve">image, laboratory, clinical, regional</w:t>
            </w:r>
          </w:p>
        </w:tc>
        <w:tc>
          <w:tcPr/>
          <w:p>
            <w:pPr>
              <w:pStyle w:val="Compact"/>
              <w:spacing w:after="20" w:before="20" w:line="240" w:lineRule="auto"/>
            </w:pPr>
            <w:r>
              <w:rPr>
                <w:sz w:val="18"/>
              </w:rPr>
              <w:t xml:space="preserve">pixel membership, quality coefficients, sample membership, prior shift</w:t>
            </w:r>
          </w:p>
        </w:tc>
        <w:tc>
          <w:tcPr/>
          <w:p>
            <w:pPr>
              <w:pStyle w:val="Compact"/>
              <w:spacing w:after="20" w:before="20" w:line="240" w:lineRule="auto"/>
            </w:pPr>
            <w:r>
              <w:rPr>
                <w:sz w:val="18"/>
              </w:rPr>
              <w:t xml:space="preserve">iodine index, regional prevalence</w:t>
            </w:r>
          </w:p>
        </w:tc>
        <w:tc>
          <w:tcPr/>
          <w:p>
            <w:pPr>
              <w:pStyle w:val="Compact"/>
              <w:spacing w:after="20" w:before="20" w:line="240" w:lineRule="auto"/>
            </w:pPr>
            <w:r>
              <w:rPr>
                <w:sz w:val="18"/>
              </w:rPr>
              <w:t xml:space="preserve">SHAP + Grad-CAM with faithfulness tests</w:t>
            </w:r>
          </w:p>
        </w:tc>
        <w:tc>
          <w:tcPr/>
          <w:p>
            <w:pPr>
              <w:pStyle w:val="Compact"/>
              <w:spacing w:after="20" w:before="20" w:line="240" w:lineRule="auto"/>
            </w:pPr>
            <w:r>
              <w:rPr>
                <w:sz w:val="18"/>
              </w:rPr>
              <w:t xml:space="preserve">—</w:t>
            </w:r>
          </w:p>
        </w:tc>
      </w:tr>
    </w:tbl>
    <w:p>
      <w:pPr>
        <w:pStyle w:val="FirstParagraph"/>
      </w:pPr>
      <w:r>
        <w:rPr>
          <w:b/>
          <w:bCs/>
        </w:rPr>
        <w:t xml:space="preserve">Research gap.</w:t>
      </w:r>
      <w:r>
        <w:t xml:space="preserve"> </w:t>
      </w:r>
      <w:r>
        <w:t xml:space="preserve">No published model combines adaptive fuzzy image processing, quality-weighted multimodal fusion, an uncertainty-aware ensemble and regional epidemiological correction in one architecture, and none has been developed and externally validated on Central Asian data. TAMES AI is designed to fill that gap.</w:t>
      </w:r>
    </w:p>
    <w:p>
      <w:pPr>
        <w:pStyle w:val="Heading1"/>
      </w:pPr>
      <w:bookmarkStart w:id="12" w:name="_d665fb624d8133e9c3d64d45dc412757e4e32fb"/>
      <w:r>
        <w:t xml:space="preserve">3. Materials and Methods</w:t>
      </w:r>
      <w:bookmarkEnd w:id="12"/>
    </w:p>
    <w:p>
      <w:pPr>
        <w:pStyle w:val="Heading1"/>
      </w:pPr>
      <w:bookmarkStart w:id="13" w:name="_6ba96ec7b99db0a1dcb7a7375450e63d18816a2"/>
      <w:r>
        <w:t xml:space="preserve">3.1 Study design and reporting</w:t>
      </w:r>
      <w:bookmarkEnd w:id="13"/>
    </w:p>
    <w:p>
      <w:pPr>
        <w:pStyle w:val="FirstParagraph"/>
      </w:pPr>
      <w:r>
        <w:t xml:space="preserve">This is a retrospective model development and evaluation study on a public dataset, reported according to TRIPOD+AI [24] and CLAIM [25]; completed checklists are given in Supplementary S1. The unit of analysis is the ultrasound image, each showing one delineated nodule. The reference standard is the benign/malignant label released with the dataset by its authors [37]; TN3K does not document the cytological or histological basis of each label, which is stated as a limitation (Section 6). The data are public and de-identified, so no ethics approval or consent was required; the dataset was used under the terms of its release and is cited accordingly. Figure 1 shows the image flow.</w:t>
      </w:r>
    </w:p>
    <w:p>
      <w:pPr>
        <w:pStyle w:val="BodyText"/>
      </w:pPr>
      <w:r>
        <w:drawing>
          <wp:inline>
            <wp:extent cx="3059999" cy="3308964"/>
            <wp:effectExtent b="0" l="0" r="0" t="0"/>
            <wp:docPr descr="" title="" id="15" name="Picture"/>
            <a:graphic>
              <a:graphicData uri="http://schemas.openxmlformats.org/drawingml/2006/picture">
                <pic:pic>
                  <pic:nvPicPr>
                    <pic:cNvPr descr="figures/fig1_flow.png" id="16" name="Picture"/>
                    <pic:cNvPicPr>
                      <a:picLocks noChangeArrowheads="1" noChangeAspect="1"/>
                    </pic:cNvPicPr>
                  </pic:nvPicPr>
                  <pic:blipFill>
                    <a:blip r:embed="rId14"/>
                    <a:stretch>
                      <a:fillRect/>
                    </a:stretch>
                  </pic:blipFill>
                  <pic:spPr bwMode="auto">
                    <a:xfrm>
                      <a:off x="0" y="0"/>
                      <a:ext cx="3059999" cy="3308964"/>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Flow of the 3,493 TN3K images through the study. The official fold-0 lists fix the training (2,303 images) and validation (576) partitions; every tuning decision is made on validation; the official test set (614) is scored once with all choices frozen. The split is image-level because TN3K carries no patient identifiers.</w:t>
      </w:r>
    </w:p>
    <w:p>
      <w:pPr>
        <w:pStyle w:val="Heading1"/>
      </w:pPr>
      <w:bookmarkStart w:id="17" w:name="_d4a1ebc8d2488f6cf3eb69cbf6d14b9f911f111"/>
      <w:r>
        <w:t xml:space="preserve">3.2 Cohort and data sources</w:t>
      </w:r>
      <w:bookmarkEnd w:id="17"/>
    </w:p>
    <w:p>
      <w:pPr>
        <w:pStyle w:val="FirstParagraph"/>
      </w:pPr>
      <w:r>
        <w:rPr>
          <w:b/>
          <w:bCs/>
        </w:rPr>
        <w:t xml:space="preserve">Table 1.</w:t>
      </w:r>
      <w:r>
        <w:t xml:space="preserve"> </w:t>
      </w:r>
      <w:r>
        <w:t xml:space="preserve">Cohort characteristics.</w:t>
      </w:r>
    </w:p>
    <w:tbl>
      <w:tblPr>
        <w:tblStyle w:val="Table"/>
        <w:tblW w:type="pct" w:w="5000"/>
        <w:tblLayout w:type="fixed"/>
        <w:tblLook w:firstRow="1" w:lastRow="0" w:firstColumn="0" w:lastColumn="0" w:noHBand="0" w:noVBand="0" w:val="0020"/>
      </w:tblPr>
      <w:tblGrid>
        <w:gridCol w:w="3888"/>
        <w:gridCol w:w="4031"/>
      </w:tblGrid>
      <w:tr>
        <w:trPr>
          <w:tblHeader w:val="on"/>
        </w:trPr>
        <w:tc>
          <w:tcPr/>
          <w:p>
            <w:pPr>
              <w:pStyle w:val="Compact"/>
              <w:spacing w:after="20" w:before="20" w:line="240" w:lineRule="auto"/>
            </w:pPr>
            <w:r>
              <w:rPr>
                <w:sz w:val="18"/>
              </w:rPr>
              <w:t xml:space="preserve">Item</w:t>
            </w:r>
          </w:p>
        </w:tc>
        <w:tc>
          <w:tcPr/>
          <w:p>
            <w:pPr>
              <w:pStyle w:val="Compact"/>
              <w:spacing w:after="20" w:before="20" w:line="240" w:lineRule="auto"/>
            </w:pPr>
            <w:r>
              <w:rPr>
                <w:sz w:val="18"/>
              </w:rPr>
              <w:t xml:space="preserve">TN3K</w:t>
            </w:r>
          </w:p>
        </w:tc>
      </w:tr>
      <w:tr>
        <w:tc>
          <w:tcPr/>
          <w:p>
            <w:pPr>
              <w:pStyle w:val="Compact"/>
              <w:spacing w:after="20" w:before="20" w:line="240" w:lineRule="auto"/>
            </w:pPr>
            <w:r>
              <w:rPr>
                <w:sz w:val="18"/>
              </w:rPr>
              <w:t xml:space="preserve">Source</w:t>
            </w:r>
          </w:p>
        </w:tc>
        <w:tc>
          <w:tcPr/>
          <w:p>
            <w:pPr>
              <w:pStyle w:val="Compact"/>
              <w:spacing w:after="20" w:before="20" w:line="240" w:lineRule="auto"/>
            </w:pPr>
            <w:r>
              <w:rPr>
                <w:sz w:val="18"/>
              </w:rPr>
              <w:t xml:space="preserve">Gong et al. [35, 36]; labels from Gong et al. [37]</w:t>
            </w:r>
          </w:p>
        </w:tc>
      </w:tr>
      <w:tr>
        <w:tc>
          <w:tcPr/>
          <w:p>
            <w:pPr>
              <w:pStyle w:val="Compact"/>
              <w:spacing w:after="20" w:before="20" w:line="240" w:lineRule="auto"/>
            </w:pPr>
            <w:r>
              <w:rPr>
                <w:sz w:val="18"/>
              </w:rPr>
              <w:t xml:space="preserve">Institution</w:t>
            </w:r>
          </w:p>
        </w:tc>
        <w:tc>
          <w:tcPr/>
          <w:p>
            <w:pPr>
              <w:pStyle w:val="Compact"/>
              <w:spacing w:after="20" w:before="20" w:line="240" w:lineRule="auto"/>
            </w:pPr>
            <w:r>
              <w:rPr>
                <w:sz w:val="18"/>
              </w:rPr>
              <w:t xml:space="preserve">Zhujiang Hospital, Southern Medical University, Guangzhou, China</w:t>
            </w:r>
          </w:p>
        </w:tc>
      </w:tr>
      <w:tr>
        <w:tc>
          <w:tcPr/>
          <w:p>
            <w:pPr>
              <w:pStyle w:val="Compact"/>
              <w:spacing w:after="20" w:before="20" w:line="240" w:lineRule="auto"/>
            </w:pPr>
            <w:r>
              <w:rPr>
                <w:sz w:val="18"/>
              </w:rPr>
              <w:t xml:space="preserve">Acquisition</w:t>
            </w:r>
          </w:p>
        </w:tc>
        <w:tc>
          <w:tcPr/>
          <w:p>
            <w:pPr>
              <w:pStyle w:val="Compact"/>
              <w:spacing w:after="20" w:before="20" w:line="240" w:lineRule="auto"/>
            </w:pPr>
            <w:r>
              <w:rPr>
                <w:sz w:val="18"/>
              </w:rPr>
              <w:t xml:space="preserve">B-mode ultrasound, various devices and views (as released; vendor and probe not documented)</w:t>
            </w:r>
          </w:p>
        </w:tc>
      </w:tr>
      <w:tr>
        <w:tc>
          <w:tcPr/>
          <w:p>
            <w:pPr>
              <w:pStyle w:val="Compact"/>
              <w:spacing w:after="20" w:before="20" w:line="240" w:lineRule="auto"/>
            </w:pPr>
            <w:r>
              <w:rPr>
                <w:sz w:val="18"/>
              </w:rPr>
              <w:t xml:space="preserve">Images, n</w:t>
            </w:r>
          </w:p>
        </w:tc>
        <w:tc>
          <w:tcPr/>
          <w:p>
            <w:pPr>
              <w:pStyle w:val="Compact"/>
              <w:spacing w:after="20" w:before="20" w:line="240" w:lineRule="auto"/>
            </w:pPr>
            <w:r>
              <w:rPr>
                <w:sz w:val="18"/>
              </w:rPr>
              <w:t xml:space="preserve">3,493, one delineated nodule per image</w:t>
            </w:r>
          </w:p>
        </w:tc>
      </w:tr>
      <w:tr>
        <w:tc>
          <w:tcPr/>
          <w:p>
            <w:pPr>
              <w:pStyle w:val="Compact"/>
              <w:spacing w:after="20" w:before="20" w:line="240" w:lineRule="auto"/>
            </w:pPr>
            <w:r>
              <w:rPr>
                <w:sz w:val="18"/>
              </w:rPr>
              <w:t xml:space="preserve">Patients, n</w:t>
            </w:r>
          </w:p>
        </w:tc>
        <w:tc>
          <w:tcPr/>
          <w:p>
            <w:pPr>
              <w:pStyle w:val="Compact"/>
              <w:spacing w:after="20" w:before="20" w:line="240" w:lineRule="auto"/>
            </w:pPr>
            <w:r>
              <w:rPr>
                <w:sz w:val="18"/>
              </w:rPr>
              <w:t xml:space="preserve">not provided by the dataset</w:t>
            </w:r>
          </w:p>
        </w:tc>
      </w:tr>
      <w:tr>
        <w:tc>
          <w:tcPr/>
          <w:p>
            <w:pPr>
              <w:pStyle w:val="Compact"/>
              <w:spacing w:after="20" w:before="20" w:line="240" w:lineRule="auto"/>
            </w:pPr>
            <w:r>
              <w:rPr>
                <w:sz w:val="18"/>
              </w:rPr>
              <w:t xml:space="preserve">Official split</w:t>
            </w:r>
          </w:p>
        </w:tc>
        <w:tc>
          <w:tcPr/>
          <w:p>
            <w:pPr>
              <w:pStyle w:val="Compact"/>
              <w:spacing w:after="20" w:before="20" w:line="240" w:lineRule="auto"/>
            </w:pPr>
            <w:r>
              <w:rPr>
                <w:sz w:val="18"/>
              </w:rPr>
              <w:t xml:space="preserve">train 2,303 · validation 576 (fold 0) · test 614</w:t>
            </w:r>
          </w:p>
        </w:tc>
      </w:tr>
      <w:tr>
        <w:tc>
          <w:tcPr/>
          <w:p>
            <w:pPr>
              <w:pStyle w:val="Compact"/>
              <w:spacing w:after="20" w:before="20" w:line="240" w:lineRule="auto"/>
            </w:pPr>
            <w:r>
              <w:rPr>
                <w:sz w:val="18"/>
              </w:rPr>
              <w:t xml:space="preserve">Malignant, n (%)</w:t>
            </w:r>
          </w:p>
        </w:tc>
        <w:tc>
          <w:tcPr/>
          <w:p>
            <w:pPr>
              <w:pStyle w:val="Compact"/>
              <w:spacing w:after="20" w:before="20" w:line="240" w:lineRule="auto"/>
            </w:pPr>
            <w:r>
              <w:rPr>
                <w:sz w:val="18"/>
              </w:rPr>
              <w:t xml:space="preserve">train + validation 974 / 2,879 (33.8 %) · test 236 / 614 (38.4 %)</w:t>
            </w:r>
          </w:p>
        </w:tc>
      </w:tr>
      <w:tr>
        <w:tc>
          <w:tcPr/>
          <w:p>
            <w:pPr>
              <w:pStyle w:val="Compact"/>
              <w:spacing w:after="20" w:before="20" w:line="240" w:lineRule="auto"/>
            </w:pPr>
            <w:r>
              <w:rPr>
                <w:sz w:val="18"/>
              </w:rPr>
              <w:t xml:space="preserve">Native image size, pixels</w:t>
            </w:r>
          </w:p>
        </w:tc>
        <w:tc>
          <w:tcPr/>
          <w:p>
            <w:pPr>
              <w:pStyle w:val="Compact"/>
              <w:spacing w:after="20" w:before="20" w:line="240" w:lineRule="auto"/>
            </w:pPr>
            <w:r>
              <w:rPr>
                <w:sz w:val="18"/>
              </w:rPr>
              <w:t xml:space="preserve">174–826 × 184–1,463</w:t>
            </w:r>
          </w:p>
        </w:tc>
      </w:tr>
      <w:tr>
        <w:tc>
          <w:tcPr/>
          <w:p>
            <w:pPr>
              <w:pStyle w:val="Compact"/>
              <w:spacing w:after="20" w:before="20" w:line="240" w:lineRule="auto"/>
            </w:pPr>
            <w:r>
              <w:rPr>
                <w:sz w:val="18"/>
              </w:rPr>
              <w:t xml:space="preserve">Nodule delineation</w:t>
            </w:r>
          </w:p>
        </w:tc>
        <w:tc>
          <w:tcPr/>
          <w:p>
            <w:pPr>
              <w:pStyle w:val="Compact"/>
              <w:spacing w:after="20" w:before="20" w:line="240" w:lineRule="auto"/>
            </w:pPr>
            <w:r>
              <w:rPr>
                <w:sz w:val="18"/>
              </w:rPr>
              <w:t xml:space="preserve">binary mask per image, drawn by the dataset authors’ radiologists</w:t>
            </w:r>
          </w:p>
        </w:tc>
      </w:tr>
      <w:tr>
        <w:tc>
          <w:tcPr/>
          <w:p>
            <w:pPr>
              <w:pStyle w:val="Compact"/>
              <w:spacing w:after="20" w:before="20" w:line="240" w:lineRule="auto"/>
            </w:pPr>
            <w:r>
              <w:rPr>
                <w:sz w:val="18"/>
              </w:rPr>
              <w:t xml:space="preserve">Inclusion</w:t>
            </w:r>
          </w:p>
        </w:tc>
        <w:tc>
          <w:tcPr/>
          <w:p>
            <w:pPr>
              <w:pStyle w:val="Compact"/>
              <w:spacing w:after="20" w:before="20" w:line="240" w:lineRule="auto"/>
            </w:pPr>
            <w:r>
              <w:rPr>
                <w:sz w:val="18"/>
              </w:rPr>
              <w:t xml:space="preserve">every image of the official release</w:t>
            </w:r>
          </w:p>
        </w:tc>
      </w:tr>
      <w:tr>
        <w:tc>
          <w:tcPr/>
          <w:p>
            <w:pPr>
              <w:pStyle w:val="Compact"/>
              <w:spacing w:after="20" w:before="20" w:line="240" w:lineRule="auto"/>
            </w:pPr>
            <w:r>
              <w:rPr>
                <w:sz w:val="18"/>
              </w:rPr>
              <w:t xml:space="preserve">Exclusion</w:t>
            </w:r>
          </w:p>
        </w:tc>
        <w:tc>
          <w:tcPr/>
          <w:p>
            <w:pPr>
              <w:pStyle w:val="Compact"/>
              <w:spacing w:after="20" w:before="20" w:line="240" w:lineRule="auto"/>
            </w:pPr>
            <w:r>
              <w:rPr>
                <w:sz w:val="18"/>
              </w:rPr>
              <w:t xml:space="preserve">none</w:t>
            </w:r>
          </w:p>
        </w:tc>
      </w:tr>
    </w:tbl>
    <w:p>
      <w:pPr>
        <w:pStyle w:val="FirstParagraph"/>
      </w:pPr>
      <w:r>
        <w:t xml:space="preserve">The official fold-0 lists define the training and validation partitions and the official test set is used as released, so the split is fixed by the dataset authors and not by us. Because TN3K carries no patient identifiers the split is image-level; images of one patient may fall into different partitions, which can make the internal estimates optimistic (Section 6). Every tuning decision (α, β, γ, λ, τ, learner hyperparameters, threshold</w:t>
      </w:r>
      <w:r>
        <w:t xml:space="preserve"> </w:t>
      </w:r>
      <m:oMath>
        <m:sSup>
          <m:e>
            <m:r>
              <m:t>t</m:t>
            </m:r>
          </m:e>
          <m:sup>
            <m:r>
              <m:rPr>
                <m:sty m:val="p"/>
              </m:rPr>
              <m:t>*</m:t>
            </m:r>
          </m:sup>
        </m:sSup>
      </m:oMath>
      <w:r>
        <w:t xml:space="preserve">) was made on the validation partition only; the test partition was scored once, after all choices had been frozen. The validation and test partitions differ in prevalence (33.8 % vs 38.4 % malignant) and in image statistics, which matters for the threshold transfer reported in Section 5.8.</w:t>
      </w:r>
    </w:p>
    <w:p>
      <w:pPr>
        <w:pStyle w:val="BodyText"/>
      </w:pPr>
      <w:r>
        <w:rPr>
          <w:b/>
          <w:bCs/>
        </w:rPr>
        <w:t xml:space="preserve">Table 2.</w:t>
      </w:r>
      <w:r>
        <w:t xml:space="preserve"> </w:t>
      </w:r>
      <w:r>
        <w:t xml:space="preserve">Model inputs.</w:t>
      </w:r>
    </w:p>
    <w:tbl>
      <w:tblPr>
        <w:tblStyle w:val="Table"/>
        <w:tblW w:type="pct" w:w="5000"/>
        <w:tblLayout w:type="fixed"/>
        <w:tblLook w:firstRow="1" w:lastRow="0" w:firstColumn="0" w:lastColumn="0" w:noHBand="0" w:noVBand="0" w:val="0020"/>
      </w:tblPr>
      <w:tblGrid>
        <w:gridCol w:w="2153"/>
        <w:gridCol w:w="2153"/>
        <w:gridCol w:w="1460"/>
        <w:gridCol w:w="2153"/>
      </w:tblGrid>
      <w:tr>
        <w:trPr>
          <w:tblHeader w:val="on"/>
        </w:trPr>
        <w:tc>
          <w:tcPr/>
          <w:p>
            <w:pPr>
              <w:pStyle w:val="Compact"/>
              <w:spacing w:after="20" w:before="20" w:line="240" w:lineRule="auto"/>
            </w:pPr>
            <w:r>
              <w:rPr>
                <w:sz w:val="18"/>
              </w:rPr>
              <w:t xml:space="preserve">Modality</w:t>
            </w:r>
          </w:p>
        </w:tc>
        <w:tc>
          <w:tcPr/>
          <w:p>
            <w:pPr>
              <w:pStyle w:val="Compact"/>
              <w:spacing w:after="20" w:before="20" w:line="240" w:lineRule="auto"/>
            </w:pPr>
            <w:r>
              <w:rPr>
                <w:sz w:val="18"/>
              </w:rPr>
              <w:t xml:space="preserve">Variables</w:t>
            </w:r>
          </w:p>
        </w:tc>
        <w:tc>
          <w:tcPr/>
          <w:p>
            <w:pPr>
              <w:pStyle w:val="Compact"/>
              <w:spacing w:after="20" w:before="20" w:line="240" w:lineRule="auto"/>
            </w:pPr>
            <w:r>
              <w:rPr>
                <w:sz w:val="18"/>
              </w:rPr>
              <w:t xml:space="preserve">Dimension</w:t>
            </w:r>
          </w:p>
        </w:tc>
        <w:tc>
          <w:tcPr/>
          <w:p>
            <w:pPr>
              <w:pStyle w:val="Compact"/>
              <w:spacing w:after="20" w:before="20" w:line="240" w:lineRule="auto"/>
            </w:pPr>
            <w:r>
              <w:rPr>
                <w:sz w:val="18"/>
              </w:rPr>
              <w:t xml:space="preserve">Status in this study</w:t>
            </w:r>
          </w:p>
        </w:tc>
      </w:tr>
      <w:tr>
        <w:tc>
          <w:tcPr/>
          <w:p>
            <w:pPr>
              <w:pStyle w:val="Compact"/>
              <w:spacing w:after="20" w:before="20" w:line="240" w:lineRule="auto"/>
            </w:pPr>
            <w:r>
              <w:rPr>
                <w:sz w:val="18"/>
              </w:rPr>
              <w:t xml:space="preserve">Ultrasound image</w:t>
            </w:r>
          </w:p>
        </w:tc>
        <w:tc>
          <w:tcPr/>
          <w:p>
            <w:pPr>
              <w:pStyle w:val="Compact"/>
              <w:spacing w:after="20" w:before="20" w:line="240" w:lineRule="auto"/>
            </w:pPr>
            <w:r>
              <w:rPr>
                <w:sz w:val="18"/>
              </w:rPr>
              <w:t xml:space="preserve">one B-mode frame, nodule-centered square crop of 1.5× the delineation’s bounding box, resized to 224 × 224</w:t>
            </w:r>
          </w:p>
        </w:tc>
        <w:tc>
          <w:tcPr/>
          <w:p>
            <w:pPr>
              <w:pStyle w:val="Compact"/>
              <w:spacing w:after="20" w:before="20" w:line="240" w:lineRule="auto"/>
            </w:pPr>
            <w:r>
              <w:rPr>
                <w:sz w:val="18"/>
              </w:rPr>
              <w:t xml:space="preserve">H × W = 224 × 224</w:t>
            </w:r>
          </w:p>
        </w:tc>
        <w:tc>
          <w:tcPr/>
          <w:p>
            <w:pPr>
              <w:pStyle w:val="Compact"/>
              <w:spacing w:after="20" w:before="20" w:line="240" w:lineRule="auto"/>
            </w:pPr>
            <w:r>
              <w:rPr>
                <w:sz w:val="18"/>
              </w:rPr>
              <w:t xml:space="preserve">evaluated</w:t>
            </w:r>
          </w:p>
        </w:tc>
      </w:tr>
      <w:tr>
        <w:tc>
          <w:tcPr/>
          <w:p>
            <w:pPr>
              <w:pStyle w:val="Compact"/>
              <w:spacing w:after="20" w:before="20" w:line="240" w:lineRule="auto"/>
            </w:pPr>
            <w:r>
              <w:rPr>
                <w:sz w:val="18"/>
              </w:rPr>
              <w:t xml:space="preserve">Structured sonographic descriptors</w:t>
            </w:r>
            <w:r>
              <w:rPr>
                <w:sz w:val="18"/>
              </w:rPr>
              <w:t xml:space="preserve"> </w:t>
            </w:r>
            <m:oMath>
              <m:sSub>
                <m:e>
                  <m:r>
                    <m:t>d</m:t>
                  </m:r>
                </m:e>
                <m:sub>
                  <m:r>
                    <m:t>n</m:t>
                  </m:r>
                </m:sub>
              </m:sSub>
            </m:oMath>
          </w:p>
        </w:tc>
        <w:tc>
          <w:tcPr/>
          <w:p>
            <w:pPr>
              <w:pStyle w:val="Compact"/>
              <w:spacing w:after="20" w:before="20" w:line="240" w:lineRule="auto"/>
            </w:pPr>
            <w:r>
              <w:rPr>
                <w:sz w:val="18"/>
              </w:rPr>
              <w:t xml:space="preserve">from the delineation and the normalized image: area fraction; height/width ratio (taller-than-wide); eccentricity; solidity; irregularity (perimeter²/4π·area − 1); echogenicity ratio inside vs. a surrounding ring; mean, SD and entropy of intensity inside; fraction of pixels above mean + 2 SD (echogenic-foci proxy); number of connected components</w:t>
            </w:r>
          </w:p>
        </w:tc>
        <w:tc>
          <w:tcPr/>
          <w:p>
            <w:pPr>
              <w:pStyle w:val="Compact"/>
              <w:spacing w:after="20" w:before="20" w:line="240" w:lineRule="auto"/>
            </w:pPr>
            <m:oMath>
              <m:sSub>
                <m:e>
                  <m:r>
                    <m:t>d</m:t>
                  </m:r>
                </m:e>
                <m:sub>
                  <m:r>
                    <m:t>d</m:t>
                  </m:r>
                </m:sub>
              </m:sSub>
            </m:oMath>
            <w:r>
              <w:rPr>
                <w:sz w:val="18"/>
              </w:rPr>
              <w:t xml:space="preserve"> </w:t>
            </w:r>
            <w:r>
              <w:rPr>
                <w:sz w:val="18"/>
              </w:rPr>
              <w:t xml:space="preserve">= 11</w:t>
            </w:r>
          </w:p>
        </w:tc>
        <w:tc>
          <w:tcPr/>
          <w:p>
            <w:pPr>
              <w:pStyle w:val="Compact"/>
              <w:spacing w:after="20" w:before="20" w:line="240" w:lineRule="auto"/>
            </w:pPr>
            <w:r>
              <w:rPr>
                <w:sz w:val="18"/>
              </w:rPr>
              <w:t xml:space="preserve">evaluated; median imputation with an observation indicator when the delineation is empty</w:t>
            </w:r>
          </w:p>
        </w:tc>
      </w:tr>
      <w:tr>
        <w:tc>
          <w:tcPr/>
          <w:p>
            <w:pPr>
              <w:pStyle w:val="Compact"/>
              <w:spacing w:after="20" w:before="20" w:line="240" w:lineRule="auto"/>
            </w:pPr>
            <w:r>
              <w:rPr>
                <w:sz w:val="18"/>
              </w:rPr>
              <w:t xml:space="preserve">Laboratory</w:t>
            </w:r>
            <w:r>
              <w:rPr>
                <w:sz w:val="18"/>
              </w:rPr>
              <w:t xml:space="preserve"> </w:t>
            </w:r>
            <m:oMath>
              <m:sSub>
                <m:e>
                  <m:r>
                    <m:t>l</m:t>
                  </m:r>
                </m:e>
                <m:sub>
                  <m:r>
                    <m:t>n</m:t>
                  </m:r>
                </m:sub>
              </m:sSub>
            </m:oMath>
          </w:p>
        </w:tc>
        <w:tc>
          <w:tcPr/>
          <w:p>
            <w:pPr>
              <w:pStyle w:val="Compact"/>
              <w:spacing w:after="20" w:before="20" w:line="240" w:lineRule="auto"/>
            </w:pPr>
            <w:r>
              <w:rPr>
                <w:sz w:val="18"/>
              </w:rPr>
              <w:t xml:space="preserve">TSH, FT3, FT4</w:t>
            </w:r>
          </w:p>
        </w:tc>
        <w:tc>
          <w:tcPr/>
          <w:p>
            <w:pPr>
              <w:pStyle w:val="Compact"/>
              <w:spacing w:after="20" w:before="20" w:line="240" w:lineRule="auto"/>
            </w:pPr>
            <m:oMath>
              <m:sSub>
                <m:e>
                  <m:r>
                    <m:t>d</m:t>
                  </m:r>
                </m:e>
                <m:sub>
                  <m:r>
                    <m:t>l</m:t>
                  </m:r>
                </m:sub>
              </m:sSub>
            </m:oMath>
            <w:r>
              <w:rPr>
                <w:sz w:val="18"/>
              </w:rPr>
              <w:t xml:space="preserve"> </w:t>
            </w:r>
            <w:r>
              <w:rPr>
                <w:sz w:val="18"/>
              </w:rPr>
              <w:t xml:space="preserve">= 3</w:t>
            </w:r>
          </w:p>
        </w:tc>
        <w:tc>
          <w:tcPr/>
          <w:p>
            <w:pPr>
              <w:pStyle w:val="Compact"/>
              <w:spacing w:after="20" w:before="20" w:line="240" w:lineRule="auto"/>
            </w:pPr>
            <w:r>
              <w:rPr>
                <w:sz w:val="18"/>
              </w:rPr>
              <w:t xml:space="preserve">defined by the framework; not available in TN3K, not evaluated</w:t>
            </w:r>
          </w:p>
        </w:tc>
      </w:tr>
      <w:tr>
        <w:tc>
          <w:tcPr/>
          <w:p>
            <w:pPr>
              <w:pStyle w:val="Compact"/>
              <w:spacing w:after="20" w:before="20" w:line="240" w:lineRule="auto"/>
            </w:pPr>
            <w:r>
              <w:rPr>
                <w:sz w:val="18"/>
              </w:rPr>
              <w:t xml:space="preserve">Clinical</w:t>
            </w:r>
            <w:r>
              <w:rPr>
                <w:sz w:val="18"/>
              </w:rPr>
              <w:t xml:space="preserve"> </w:t>
            </w:r>
            <m:oMath>
              <m:sSub>
                <m:e>
                  <m:r>
                    <m:t>c</m:t>
                  </m:r>
                </m:e>
                <m:sub>
                  <m:r>
                    <m:t>n</m:t>
                  </m:r>
                </m:sub>
              </m:sSub>
            </m:oMath>
          </w:p>
        </w:tc>
        <w:tc>
          <w:tcPr/>
          <w:p>
            <w:pPr>
              <w:pStyle w:val="Compact"/>
              <w:spacing w:after="20" w:before="20" w:line="240" w:lineRule="auto"/>
            </w:pPr>
            <w:r>
              <w:rPr>
                <w:sz w:val="18"/>
              </w:rPr>
              <w:t xml:space="preserve">age, sex, ACR TI-RADS category, maximum diameter</w:t>
            </w:r>
          </w:p>
        </w:tc>
        <w:tc>
          <w:tcPr/>
          <w:p>
            <w:pPr>
              <w:pStyle w:val="Compact"/>
              <w:spacing w:after="20" w:before="20" w:line="240" w:lineRule="auto"/>
            </w:pPr>
            <m:oMath>
              <m:sSub>
                <m:e>
                  <m:r>
                    <m:t>d</m:t>
                  </m:r>
                </m:e>
                <m:sub>
                  <m:r>
                    <m:t>c</m:t>
                  </m:r>
                </m:sub>
              </m:sSub>
            </m:oMath>
            <w:r>
              <w:rPr>
                <w:sz w:val="18"/>
              </w:rPr>
              <w:t xml:space="preserve"> </w:t>
            </w:r>
            <w:r>
              <w:rPr>
                <w:sz w:val="18"/>
              </w:rPr>
              <w:t xml:space="preserve">= 4</w:t>
            </w:r>
          </w:p>
        </w:tc>
        <w:tc>
          <w:tcPr/>
          <w:p>
            <w:pPr>
              <w:pStyle w:val="Compact"/>
              <w:spacing w:after="20" w:before="20" w:line="240" w:lineRule="auto"/>
            </w:pPr>
            <w:r>
              <w:rPr>
                <w:sz w:val="18"/>
              </w:rPr>
              <w:t xml:space="preserve">defined; not available, not evaluated</w:t>
            </w:r>
          </w:p>
        </w:tc>
      </w:tr>
      <w:tr>
        <w:tc>
          <w:tcPr/>
          <w:p>
            <w:pPr>
              <w:pStyle w:val="Compact"/>
              <w:spacing w:after="20" w:before="20" w:line="240" w:lineRule="auto"/>
            </w:pPr>
            <w:r>
              <w:rPr>
                <w:sz w:val="18"/>
              </w:rPr>
              <w:t xml:space="preserve">Regional</w:t>
            </w:r>
            <w:r>
              <w:rPr>
                <w:sz w:val="18"/>
              </w:rPr>
              <w:t xml:space="preserve"> </w:t>
            </w:r>
            <m:oMath>
              <m:sSub>
                <m:e>
                  <m:r>
                    <m:t>r</m:t>
                  </m:r>
                </m:e>
                <m:sub>
                  <m:r>
                    <m:t>n</m:t>
                  </m:r>
                </m:sub>
              </m:sSub>
            </m:oMath>
          </w:p>
        </w:tc>
        <w:tc>
          <w:tcPr/>
          <w:p>
            <w:pPr>
              <w:pStyle w:val="Compact"/>
              <w:spacing w:after="20" w:before="20" w:line="240" w:lineRule="auto"/>
            </w:pPr>
            <w:r>
              <w:rPr>
                <w:sz w:val="18"/>
              </w:rPr>
              <w:t xml:space="preserve">iodine-deficiency index, regional malignancy prevalence</w:t>
            </w:r>
            <w:r>
              <w:rPr>
                <w:sz w:val="18"/>
              </w:rPr>
              <w:t xml:space="preserve"> </w:t>
            </w:r>
            <m:oMath>
              <m:sSub>
                <m:e>
                  <m:r>
                    <m:t>π</m:t>
                  </m:r>
                </m:e>
                <m:sub>
                  <m:r>
                    <m:t>r</m:t>
                  </m:r>
                  <m:r>
                    <m:t>e</m:t>
                  </m:r>
                  <m:r>
                    <m:t>g</m:t>
                  </m:r>
                </m:sub>
              </m:sSub>
            </m:oMath>
          </w:p>
        </w:tc>
        <w:tc>
          <w:tcPr/>
          <w:p>
            <w:pPr>
              <w:pStyle w:val="Compact"/>
              <w:spacing w:after="20" w:before="20" w:line="240" w:lineRule="auto"/>
            </w:pPr>
            <m:oMath>
              <m:sSub>
                <m:e>
                  <m:r>
                    <m:t>d</m:t>
                  </m:r>
                </m:e>
                <m:sub>
                  <m:r>
                    <m:t>r</m:t>
                  </m:r>
                </m:sub>
              </m:sSub>
            </m:oMath>
            <w:r>
              <w:rPr>
                <w:sz w:val="18"/>
              </w:rPr>
              <w:t xml:space="preserve"> </w:t>
            </w:r>
            <w:r>
              <w:rPr>
                <w:sz w:val="18"/>
              </w:rPr>
              <w:t xml:space="preserve">= 2</w:t>
            </w:r>
          </w:p>
        </w:tc>
        <w:tc>
          <w:tcPr/>
          <w:p>
            <w:pPr>
              <w:pStyle w:val="Compact"/>
              <w:spacing w:after="20" w:before="20" w:line="240" w:lineRule="auto"/>
            </w:pPr>
            <w:r>
              <w:rPr>
                <w:sz w:val="18"/>
              </w:rPr>
              <w:t xml:space="preserve">defined; not available,</w:t>
            </w:r>
            <w:r>
              <w:rPr>
                <w:sz w:val="18"/>
              </w:rPr>
              <w:t xml:space="preserve"> </w:t>
            </w:r>
            <m:oMath>
              <m:sSub>
                <m:e>
                  <m:r>
                    <m:rPr>
                      <m:sty m:val="p"/>
                    </m:rPr>
                    <m:t>Δ</m:t>
                  </m:r>
                </m:e>
                <m:sub>
                  <m:r>
                    <m:t>r</m:t>
                  </m:r>
                  <m:r>
                    <m:t>e</m:t>
                  </m:r>
                  <m:r>
                    <m:t>g</m:t>
                  </m:r>
                </m:sub>
              </m:sSub>
            </m:oMath>
            <w:r>
              <w:rPr>
                <w:sz w:val="18"/>
              </w:rPr>
              <w:t xml:space="preserve"> </w:t>
            </w:r>
            <w:r>
              <w:rPr>
                <w:sz w:val="18"/>
              </w:rPr>
              <w:t xml:space="preserve">= 0 throughout</w:t>
            </w:r>
          </w:p>
        </w:tc>
      </w:tr>
      <w:tr>
        <w:tc>
          <w:tcPr/>
          <w:p>
            <w:pPr>
              <w:pStyle w:val="Compact"/>
              <w:spacing w:after="20" w:before="20" w:line="240" w:lineRule="auto"/>
            </w:pPr>
            <w:r>
              <w:rPr>
                <w:sz w:val="18"/>
              </w:rPr>
              <w:t xml:space="preserve">Cytology / molecular</w:t>
            </w:r>
            <w:r>
              <w:rPr>
                <w:sz w:val="18"/>
              </w:rPr>
              <w:t xml:space="preserve"> </w:t>
            </w:r>
            <m:oMath>
              <m:sSub>
                <m:e>
                  <m:r>
                    <m:t>g</m:t>
                  </m:r>
                </m:e>
                <m:sub>
                  <m:r>
                    <m:t>n</m:t>
                  </m:r>
                </m:sub>
              </m:sSub>
            </m:oMath>
          </w:p>
        </w:tc>
        <w:tc>
          <w:tcPr/>
          <w:p>
            <w:pPr>
              <w:pStyle w:val="Compact"/>
              <w:spacing w:after="20" w:before="20" w:line="240" w:lineRule="auto"/>
            </w:pPr>
            <w:r>
              <w:rPr>
                <w:sz w:val="18"/>
              </w:rPr>
              <w:t xml:space="preserve">Bethesda category, molecular markers</w:t>
            </w:r>
          </w:p>
        </w:tc>
        <w:tc>
          <w:tcPr/>
          <w:p>
            <w:pPr>
              <w:pStyle w:val="Compact"/>
              <w:spacing w:after="20" w:before="20" w:line="240" w:lineRule="auto"/>
            </w:pPr>
            <m:oMath>
              <m:sSub>
                <m:e>
                  <m:r>
                    <m:t>d</m:t>
                  </m:r>
                </m:e>
                <m:sub>
                  <m:r>
                    <m:t>g</m:t>
                  </m:r>
                </m:sub>
              </m:sSub>
            </m:oMath>
            <w:r>
              <w:rPr>
                <w:sz w:val="18"/>
              </w:rPr>
              <w:t xml:space="preserve">​</w:t>
            </w:r>
          </w:p>
        </w:tc>
        <w:tc>
          <w:tcPr/>
          <w:p>
            <w:pPr>
              <w:pStyle w:val="Compact"/>
              <w:spacing w:after="20" w:before="20" w:line="240" w:lineRule="auto"/>
            </w:pPr>
            <w:r>
              <w:rPr>
                <w:sz w:val="18"/>
              </w:rPr>
              <w:t xml:space="preserve">defined; not available, not evaluated</w:t>
            </w:r>
          </w:p>
        </w:tc>
      </w:tr>
    </w:tbl>
    <w:p>
      <w:pPr>
        <w:pStyle w:val="FirstParagraph"/>
      </w:pPr>
      <w:r>
        <w:t xml:space="preserve">The descriptors are the computable counterparts of the TI-RADS lexicon [2] (composition, echogenicity, shape, margin, echogenic foci). In the main experiment they are computed from the dataset’s radiologist delineation (the setting of TI-RADS-descriptor models [13]); in the fully automatic experiment of Section 3.12 they are computed from the Otsu-binarized fuzzy map F instead, so that no expert input is used at inference.</w:t>
      </w:r>
    </w:p>
    <w:p>
      <w:pPr>
        <w:pStyle w:val="Heading1"/>
      </w:pPr>
      <w:bookmarkStart w:id="18" w:name="_notation"/>
      <w:r>
        <w:t xml:space="preserve">3.3 Notation</w:t>
      </w:r>
      <w:bookmarkEnd w:id="18"/>
    </w:p>
    <w:p>
      <w:pPr>
        <w:pStyle w:val="FirstParagraph"/>
      </w:pPr>
      <w:r>
        <w:t xml:space="preserve">Index n = 1, …, N runs over nodules, p over pixels of one image and k over base learners; bold lower-case letters denote vectors.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spacing w:after="20" w:before="20" w:line="240" w:lineRule="auto"/>
            </w:pPr>
            <w:r>
              <w:rPr>
                <w:sz w:val="18"/>
              </w:rPr>
              <w:t xml:space="preserve">Symbol</w:t>
            </w:r>
          </w:p>
        </w:tc>
        <w:tc>
          <w:tcPr/>
          <w:p>
            <w:pPr>
              <w:pStyle w:val="Compact"/>
              <w:spacing w:after="20" w:before="20" w:line="240" w:lineRule="auto"/>
            </w:pPr>
            <w:r>
              <w:rPr>
                <w:sz w:val="18"/>
              </w:rPr>
              <w:t xml:space="preserve">Meaning</w:t>
            </w:r>
          </w:p>
        </w:tc>
        <w:tc>
          <w:tcPr/>
          <w:p>
            <w:pPr>
              <w:pStyle w:val="Compact"/>
              <w:spacing w:after="20" w:before="20" w:line="240" w:lineRule="auto"/>
            </w:pPr>
            <w:r>
              <w:rPr>
                <w:sz w:val="18"/>
              </w:rPr>
              <w:t xml:space="preserve">Range</w:t>
            </w:r>
          </w:p>
        </w:tc>
      </w:tr>
      <w:tr>
        <w:tc>
          <w:tcPr/>
          <w:p>
            <w:pPr>
              <w:pStyle w:val="Compact"/>
              <w:spacing w:after="20" w:before="20" w:line="240" w:lineRule="auto"/>
            </w:pPr>
            <m:oMath>
              <m:sSub>
                <m:e>
                  <m:r>
                    <m:t>I</m:t>
                  </m:r>
                </m:e>
                <m:sub>
                  <m:r>
                    <m:t>n</m:t>
                  </m:r>
                </m:sub>
              </m:sSub>
            </m:oMath>
            <w:r>
              <w:rPr>
                <w:sz w:val="18"/>
              </w:rPr>
              <w:t xml:space="preserve">​</w:t>
            </w:r>
          </w:p>
        </w:tc>
        <w:tc>
          <w:tcPr/>
          <w:p>
            <w:pPr>
              <w:pStyle w:val="Compact"/>
              <w:spacing w:after="20" w:before="20" w:line="240" w:lineRule="auto"/>
            </w:pPr>
            <w:r>
              <w:rPr>
                <w:sz w:val="18"/>
              </w:rPr>
              <w:t xml:space="preserve">B-mode image of nodule n</w:t>
            </w:r>
          </w:p>
        </w:tc>
        <w:tc>
          <w:tcPr/>
          <w:p>
            <w:pPr>
              <w:pStyle w:val="Compact"/>
              <w:spacing w:after="20" w:before="20" w:line="240" w:lineRule="auto"/>
            </w:pPr>
            <w:r>
              <w:rPr>
                <w:sz w:val="18"/>
              </w:rPr>
              <w:t xml:space="preserve">H × W, 8-bit</w:t>
            </w:r>
          </w:p>
        </w:tc>
      </w:tr>
      <w:tr>
        <w:tc>
          <w:tcPr/>
          <w:p>
            <w:pPr>
              <w:pStyle w:val="Compact"/>
              <w:spacing w:after="20" w:before="20" w:line="240" w:lineRule="auto"/>
            </w:pPr>
            <m:oMath>
              <m:acc>
                <m:accPr>
                  <m:chr m:val="̃"/>
                </m:accPr>
                <m:e>
                  <m:r>
                    <m:t>x</m:t>
                  </m:r>
                </m:e>
              </m:acc>
            </m:oMath>
            <w:r>
              <w:rPr>
                <w:sz w:val="18"/>
              </w:rPr>
              <w:t xml:space="preserve">(p)</w:t>
            </w:r>
          </w:p>
        </w:tc>
        <w:tc>
          <w:tcPr/>
          <w:p>
            <w:pPr>
              <w:pStyle w:val="Compact"/>
              <w:spacing w:after="20" w:before="20" w:line="240" w:lineRule="auto"/>
            </w:pPr>
            <w:r>
              <w:rPr>
                <w:sz w:val="18"/>
              </w:rPr>
              <w:t xml:space="preserve">intensity at pixel p after min–max normalization</w:t>
            </w:r>
          </w:p>
        </w:tc>
        <w:tc>
          <w:tcPr/>
          <w:p>
            <w:pPr>
              <w:pStyle w:val="Compact"/>
              <w:spacing w:after="20" w:before="20" w:line="240" w:lineRule="auto"/>
            </w:pPr>
            <w:r>
              <w:rPr>
                <w:sz w:val="18"/>
              </w:rPr>
              <w:t xml:space="preserve">[0, 1]</w:t>
            </w:r>
          </w:p>
        </w:tc>
      </w:tr>
      <w:tr>
        <w:tc>
          <w:tcPr/>
          <w:p>
            <w:pPr>
              <w:pStyle w:val="Compact"/>
              <w:spacing w:after="20" w:before="20" w:line="240" w:lineRule="auto"/>
            </w:pPr>
            <m:oMath>
              <m:sSub>
                <m:e>
                  <m:r>
                    <m:t>W</m:t>
                  </m:r>
                </m:e>
                <m:sub>
                  <m:r>
                    <m:t>p</m:t>
                  </m:r>
                </m:sub>
              </m:sSub>
            </m:oMath>
            <w:r>
              <w:rPr>
                <w:sz w:val="18"/>
              </w:rPr>
              <w:t xml:space="preserve">​</w:t>
            </w:r>
          </w:p>
        </w:tc>
        <w:tc>
          <w:tcPr/>
          <w:p>
            <w:pPr>
              <w:pStyle w:val="Compact"/>
              <w:spacing w:after="20" w:before="20" w:line="240" w:lineRule="auto"/>
            </w:pPr>
            <w:r>
              <w:rPr>
                <w:sz w:val="18"/>
              </w:rPr>
              <w:t xml:space="preserve">square window of side k = 7 pixels centered at p</w:t>
            </w:r>
          </w:p>
        </w:tc>
        <w:tc>
          <w:tcPr/>
          <w:p>
            <w:pPr>
              <w:pStyle w:val="Compact"/>
              <w:spacing w:after="20" w:before="20" w:line="240" w:lineRule="auto"/>
            </w:pPr>
            <w:r>
              <w:rPr>
                <w:sz w:val="18"/>
              </w:rPr>
              <w:t xml:space="preserve">—</w:t>
            </w:r>
          </w:p>
        </w:tc>
      </w:tr>
      <w:tr>
        <w:tc>
          <w:tcPr/>
          <w:p>
            <w:pPr>
              <w:pStyle w:val="Compact"/>
              <w:spacing w:after="20" w:before="20" w:line="240" w:lineRule="auto"/>
            </w:pPr>
            <w:r>
              <w:rPr>
                <w:sz w:val="18"/>
              </w:rPr>
              <w:t xml:space="preserve">c(p), σ(p)</w:t>
            </w:r>
          </w:p>
        </w:tc>
        <w:tc>
          <w:tcPr/>
          <w:p>
            <w:pPr>
              <w:pStyle w:val="Compact"/>
              <w:spacing w:after="20" w:before="20" w:line="240" w:lineRule="auto"/>
            </w:pPr>
            <w:r>
              <w:rPr>
                <w:sz w:val="18"/>
              </w:rPr>
              <w:t xml:space="preserve">mean and standard deviation of</w:t>
            </w:r>
            <w:r>
              <w:rPr>
                <w:sz w:val="18"/>
              </w:rPr>
              <w:t xml:space="preserve"> </w:t>
            </w:r>
            <m:oMath>
              <m:acc>
                <m:accPr>
                  <m:chr m:val="̃"/>
                </m:accPr>
                <m:e>
                  <m:r>
                    <m:t>x</m:t>
                  </m:r>
                </m:e>
              </m:acc>
            </m:oMath>
            <w:r>
              <w:rPr>
                <w:sz w:val="18"/>
              </w:rPr>
              <w:t xml:space="preserve"> </w:t>
            </w:r>
            <w:r>
              <w:rPr>
                <w:sz w:val="18"/>
              </w:rPr>
              <w:t xml:space="preserve">over</w:t>
            </w:r>
            <w:r>
              <w:rPr>
                <w:sz w:val="18"/>
              </w:rPr>
              <w:t xml:space="preserve"> </w:t>
            </w:r>
            <m:oMath>
              <m:sSub>
                <m:e>
                  <m:r>
                    <m:t>W</m:t>
                  </m:r>
                </m:e>
                <m:sub>
                  <m:r>
                    <m:t>p</m:t>
                  </m:r>
                </m:sub>
              </m:sSub>
            </m:oMath>
          </w:p>
        </w:tc>
        <w:tc>
          <w:tcPr/>
          <w:p>
            <w:pPr>
              <w:pStyle w:val="Compact"/>
              <w:spacing w:after="20" w:before="20" w:line="240" w:lineRule="auto"/>
            </w:pPr>
            <w:r>
              <w:rPr>
                <w:sz w:val="18"/>
              </w:rPr>
              <w:t xml:space="preserve">[0, 1]</w:t>
            </w:r>
          </w:p>
        </w:tc>
      </w:tr>
      <w:tr>
        <w:tc>
          <w:tcPr/>
          <w:p>
            <w:pPr>
              <w:pStyle w:val="Compact"/>
              <w:spacing w:after="20" w:before="20" w:line="240" w:lineRule="auto"/>
            </w:pPr>
            <m:oMath>
              <m:sSub>
                <m:e>
                  <m:r>
                    <m:t>σ</m:t>
                  </m:r>
                </m:e>
                <m:sub>
                  <m:r>
                    <m:t>g</m:t>
                  </m:r>
                </m:sub>
              </m:sSub>
            </m:oMath>
            <w:r>
              <w:rPr>
                <w:sz w:val="18"/>
              </w:rPr>
              <w:t xml:space="preserve">​</w:t>
            </w:r>
          </w:p>
        </w:tc>
        <w:tc>
          <w:tcPr/>
          <w:p>
            <w:pPr>
              <w:pStyle w:val="Compact"/>
              <w:spacing w:after="20" w:before="20" w:line="240" w:lineRule="auto"/>
            </w:pPr>
            <w:r>
              <w:rPr>
                <w:sz w:val="18"/>
              </w:rPr>
              <w:t xml:space="preserve">standard deviation of</w:t>
            </w:r>
            <w:r>
              <w:rPr>
                <w:sz w:val="18"/>
              </w:rPr>
              <w:t xml:space="preserve"> </w:t>
            </w:r>
            <m:oMath>
              <m:acc>
                <m:accPr>
                  <m:chr m:val="̃"/>
                </m:accPr>
                <m:e>
                  <m:r>
                    <m:t>x</m:t>
                  </m:r>
                </m:e>
              </m:acc>
            </m:oMath>
            <w:r>
              <w:rPr>
                <w:sz w:val="18"/>
              </w:rPr>
              <w:t xml:space="preserve"> </w:t>
            </w:r>
            <w:r>
              <w:rPr>
                <w:sz w:val="18"/>
              </w:rPr>
              <w:t xml:space="preserve">over the whole image</w:t>
            </w:r>
          </w:p>
        </w:tc>
        <w:tc>
          <w:tcPr/>
          <w:p>
            <w:pPr>
              <w:pStyle w:val="Compact"/>
              <w:spacing w:after="20" w:before="20" w:line="240" w:lineRule="auto"/>
            </w:pPr>
            <w:r>
              <w:rPr>
                <w:sz w:val="18"/>
              </w:rPr>
              <w:t xml:space="preserve">[0, 1]</w:t>
            </w:r>
          </w:p>
        </w:tc>
      </w:tr>
      <w:tr>
        <w:tc>
          <w:tcPr/>
          <w:p>
            <w:pPr>
              <w:pStyle w:val="Compact"/>
              <w:spacing w:after="20" w:before="20" w:line="240" w:lineRule="auto"/>
            </w:pPr>
            <w:r>
              <w:rPr>
                <w:sz w:val="18"/>
              </w:rPr>
              <w:t xml:space="preserve">T(p)</w:t>
            </w:r>
          </w:p>
        </w:tc>
        <w:tc>
          <w:tcPr/>
          <w:p>
            <w:pPr>
              <w:pStyle w:val="Compact"/>
              <w:spacing w:after="20" w:before="20" w:line="240" w:lineRule="auto"/>
            </w:pPr>
            <w:r>
              <w:rPr>
                <w:sz w:val="18"/>
              </w:rPr>
              <w:t xml:space="preserve">normalized local entropy (texture)</w:t>
            </w:r>
          </w:p>
        </w:tc>
        <w:tc>
          <w:tcPr/>
          <w:p>
            <w:pPr>
              <w:pStyle w:val="Compact"/>
              <w:spacing w:after="20" w:before="20" w:line="240" w:lineRule="auto"/>
            </w:pPr>
            <w:r>
              <w:rPr>
                <w:sz w:val="18"/>
              </w:rPr>
              <w:t xml:space="preserve">[0, 1]</w:t>
            </w:r>
          </w:p>
        </w:tc>
      </w:tr>
      <w:tr>
        <w:tc>
          <w:tcPr/>
          <w:p>
            <w:pPr>
              <w:pStyle w:val="Compact"/>
              <w:spacing w:after="20" w:before="20" w:line="240" w:lineRule="auto"/>
            </w:pPr>
            <w:r>
              <w:rPr>
                <w:sz w:val="18"/>
              </w:rPr>
              <w:t xml:space="preserve">K(p)</w:t>
            </w:r>
          </w:p>
        </w:tc>
        <w:tc>
          <w:tcPr/>
          <w:p>
            <w:pPr>
              <w:pStyle w:val="Compact"/>
              <w:spacing w:after="20" w:before="20" w:line="240" w:lineRule="auto"/>
            </w:pPr>
            <w:r>
              <w:rPr>
                <w:sz w:val="18"/>
              </w:rPr>
              <w:t xml:space="preserve">Michelson local contrast</w:t>
            </w:r>
          </w:p>
        </w:tc>
        <w:tc>
          <w:tcPr/>
          <w:p>
            <w:pPr>
              <w:pStyle w:val="Compact"/>
              <w:spacing w:after="20" w:before="20" w:line="240" w:lineRule="auto"/>
            </w:pPr>
            <w:r>
              <w:rPr>
                <w:sz w:val="18"/>
              </w:rPr>
              <w:t xml:space="preserve">[0, 1]</w:t>
            </w:r>
          </w:p>
        </w:tc>
      </w:tr>
      <w:tr>
        <w:tc>
          <w:tcPr/>
          <w:p>
            <w:pPr>
              <w:pStyle w:val="Compact"/>
              <w:spacing w:after="20" w:before="20" w:line="240" w:lineRule="auto"/>
            </w:pPr>
            <w:r>
              <w:rPr>
                <w:sz w:val="18"/>
              </w:rPr>
              <w:t xml:space="preserve">q</w:t>
            </w:r>
          </w:p>
        </w:tc>
        <w:tc>
          <w:tcPr/>
          <w:p>
            <w:pPr>
              <w:pStyle w:val="Compact"/>
              <w:spacing w:after="20" w:before="20" w:line="240" w:lineRule="auto"/>
            </w:pPr>
            <w:r>
              <w:rPr>
                <w:sz w:val="18"/>
              </w:rPr>
              <w:t xml:space="preserve">image quality coefficient</w:t>
            </w:r>
          </w:p>
        </w:tc>
        <w:tc>
          <w:tcPr/>
          <w:p>
            <w:pPr>
              <w:pStyle w:val="Compact"/>
              <w:spacing w:after="20" w:before="20" w:line="240" w:lineRule="auto"/>
            </w:pPr>
            <w:r>
              <w:rPr>
                <w:sz w:val="18"/>
              </w:rPr>
              <w:t xml:space="preserve">[0, 1]</w:t>
            </w:r>
          </w:p>
        </w:tc>
      </w:tr>
      <w:tr>
        <w:tc>
          <w:tcPr/>
          <w:p>
            <w:pPr>
              <w:pStyle w:val="Compact"/>
              <w:spacing w:after="20" w:before="20" w:line="240" w:lineRule="auto"/>
            </w:pPr>
            <w:r>
              <w:rPr>
                <w:sz w:val="18"/>
              </w:rPr>
              <w:t xml:space="preserve">μ(p)</w:t>
            </w:r>
          </w:p>
        </w:tc>
        <w:tc>
          <w:tcPr/>
          <w:p>
            <w:pPr>
              <w:pStyle w:val="Compact"/>
              <w:spacing w:after="20" w:before="20" w:line="240" w:lineRule="auto"/>
            </w:pPr>
            <w:r>
              <w:rPr>
                <w:sz w:val="18"/>
              </w:rPr>
              <w:t xml:space="preserve">adaptive fuzzy membership of pixel p</w:t>
            </w:r>
          </w:p>
        </w:tc>
        <w:tc>
          <w:tcPr/>
          <w:p>
            <w:pPr>
              <w:pStyle w:val="Compact"/>
              <w:spacing w:after="20" w:before="20" w:line="240" w:lineRule="auto"/>
            </w:pPr>
            <w:r>
              <w:rPr>
                <w:sz w:val="18"/>
              </w:rPr>
              <w:t xml:space="preserve">[0, 1]</w:t>
            </w:r>
          </w:p>
        </w:tc>
      </w:tr>
      <w:tr>
        <w:tc>
          <w:tcPr/>
          <w:p>
            <w:pPr>
              <w:pStyle w:val="Compact"/>
              <w:spacing w:after="20" w:before="20" w:line="240" w:lineRule="auto"/>
            </w:pPr>
            <w:r>
              <w:rPr>
                <w:sz w:val="18"/>
              </w:rPr>
              <w:t xml:space="preserve">r(p)</w:t>
            </w:r>
          </w:p>
        </w:tc>
        <w:tc>
          <w:tcPr/>
          <w:p>
            <w:pPr>
              <w:pStyle w:val="Compact"/>
              <w:spacing w:after="20" w:before="20" w:line="240" w:lineRule="auto"/>
            </w:pPr>
            <w:r>
              <w:rPr>
                <w:sz w:val="18"/>
              </w:rPr>
              <w:t xml:space="preserve">radius of the structuring element at p</w:t>
            </w:r>
          </w:p>
        </w:tc>
        <w:tc>
          <w:tcPr/>
          <w:p>
            <w:pPr>
              <w:pStyle w:val="Compact"/>
              <w:spacing w:after="20" w:before="20" w:line="240" w:lineRule="auto"/>
            </w:pPr>
            <w:r>
              <w:rPr>
                <w:sz w:val="18"/>
              </w:rPr>
              <w:t xml:space="preserve">integers in [</w:t>
            </w:r>
            <m:oMath>
              <m:sSub>
                <m:e>
                  <m:r>
                    <m:t>r</m:t>
                  </m:r>
                </m:e>
                <m:sub>
                  <m:r>
                    <m:t>m</m:t>
                  </m:r>
                  <m:r>
                    <m:t>i</m:t>
                  </m:r>
                  <m:r>
                    <m:t>n</m:t>
                  </m:r>
                </m:sub>
              </m:sSub>
            </m:oMath>
            <w:r>
              <w:rPr>
                <w:sz w:val="18"/>
              </w:rPr>
              <w:t xml:space="preserve">,</w:t>
            </w:r>
            <w:r>
              <w:rPr>
                <w:sz w:val="18"/>
              </w:rPr>
              <w:t xml:space="preserve"> </w:t>
            </w:r>
            <m:oMath>
              <m:sSub>
                <m:e>
                  <m:r>
                    <m:t>r</m:t>
                  </m:r>
                </m:e>
                <m:sub>
                  <m:r>
                    <m:t>m</m:t>
                  </m:r>
                  <m:r>
                    <m:t>a</m:t>
                  </m:r>
                  <m:r>
                    <m:t>x</m:t>
                  </m:r>
                </m:sub>
              </m:sSub>
            </m:oMath>
            <w:r>
              <w:rPr>
                <w:sz w:val="18"/>
              </w:rPr>
              <w:t xml:space="preserve">]</w:t>
            </w:r>
          </w:p>
        </w:tc>
      </w:tr>
      <w:tr>
        <w:tc>
          <w:tcPr/>
          <w:p>
            <w:pPr>
              <w:pStyle w:val="Compact"/>
              <w:spacing w:after="20" w:before="20" w:line="240" w:lineRule="auto"/>
            </w:pPr>
            <w:r>
              <w:rPr>
                <w:sz w:val="18"/>
              </w:rPr>
              <w:t xml:space="preserve">w(p)</w:t>
            </w:r>
          </w:p>
        </w:tc>
        <w:tc>
          <w:tcPr/>
          <w:p>
            <w:pPr>
              <w:pStyle w:val="Compact"/>
              <w:spacing w:after="20" w:before="20" w:line="240" w:lineRule="auto"/>
            </w:pPr>
            <w:r>
              <w:rPr>
                <w:sz w:val="18"/>
              </w:rPr>
              <w:t xml:space="preserve">reliability weight of the morphological operator at p</w:t>
            </w:r>
          </w:p>
        </w:tc>
        <w:tc>
          <w:tcPr/>
          <w:p>
            <w:pPr>
              <w:pStyle w:val="Compact"/>
              <w:spacing w:after="20" w:before="20" w:line="240" w:lineRule="auto"/>
            </w:pPr>
            <w:r>
              <w:rPr>
                <w:sz w:val="18"/>
              </w:rPr>
              <w:t xml:space="preserve">[0, 1]</w:t>
            </w:r>
          </w:p>
        </w:tc>
      </w:tr>
      <w:tr>
        <w:tc>
          <w:tcPr/>
          <w:p>
            <w:pPr>
              <w:pStyle w:val="Compact"/>
              <w:spacing w:after="20" w:before="20" w:line="240" w:lineRule="auto"/>
            </w:pPr>
            <w:r>
              <w:rPr>
                <w:sz w:val="18"/>
              </w:rPr>
              <w:t xml:space="preserve">F</w:t>
            </w:r>
          </w:p>
        </w:tc>
        <w:tc>
          <w:tcPr/>
          <w:p>
            <w:pPr>
              <w:pStyle w:val="Compact"/>
              <w:spacing w:after="20" w:before="20" w:line="240" w:lineRule="auto"/>
            </w:pPr>
            <w:r>
              <w:rPr>
                <w:sz w:val="18"/>
              </w:rPr>
              <w:t xml:space="preserve">adaptive fuzzy-morphological map of the image</w:t>
            </w:r>
          </w:p>
        </w:tc>
        <w:tc>
          <w:tcPr/>
          <w:p>
            <w:pPr>
              <w:pStyle w:val="Compact"/>
              <w:spacing w:after="20" w:before="20" w:line="240" w:lineRule="auto"/>
            </w:pPr>
            <m:oMath>
              <m:r>
                <m:rPr>
                  <m:sty m:val="p"/>
                </m:rPr>
                <m:t>[</m:t>
              </m:r>
              <m:r>
                <m:t>0</m:t>
              </m:r>
              <m:r>
                <m:rPr>
                  <m:sty m:val="p"/>
                </m:rPr>
                <m:t>,</m:t>
              </m:r>
              <m:r>
                <m:t>1</m:t>
              </m:r>
              <m:sSup>
                <m:e>
                  <m:r>
                    <m:rPr>
                      <m:sty m:val="p"/>
                    </m:rPr>
                    <m:t>]</m:t>
                  </m:r>
                </m:e>
                <m:sup>
                  <m:r>
                    <m:t>H</m:t>
                  </m:r>
                  <m:r>
                    <m:rPr>
                      <m:sty m:val="p"/>
                    </m:rPr>
                    <m:t>×</m:t>
                  </m:r>
                  <m:r>
                    <m:t>W</m:t>
                  </m:r>
                </m:sup>
              </m:sSup>
            </m:oMath>
            <w:r>
              <w:rPr>
                <w:sz w:val="18"/>
              </w:rPr>
              <w:t xml:space="preserve">​</w:t>
            </w:r>
          </w:p>
        </w:tc>
      </w:tr>
      <w:tr>
        <w:tc>
          <w:tcPr/>
          <w:p>
            <w:pPr>
              <w:pStyle w:val="Compact"/>
              <w:spacing w:after="20" w:before="20" w:line="240" w:lineRule="auto"/>
            </w:pPr>
            <m:oMath>
              <m:sSub>
                <m:e>
                  <m:r>
                    <m:t>d</m:t>
                  </m:r>
                </m:e>
                <m:sub>
                  <m:r>
                    <m:t>n</m:t>
                  </m:r>
                </m:sub>
              </m:sSub>
            </m:oMath>
            <w:r>
              <w:rPr>
                <w:sz w:val="18"/>
              </w:rPr>
              <w:t xml:space="preserve">​</w:t>
            </w:r>
          </w:p>
        </w:tc>
        <w:tc>
          <w:tcPr/>
          <w:p>
            <w:pPr>
              <w:pStyle w:val="Compact"/>
              <w:spacing w:after="20" w:before="20" w:line="240" w:lineRule="auto"/>
            </w:pPr>
            <w:r>
              <w:rPr>
                <w:sz w:val="18"/>
              </w:rPr>
              <w:t xml:space="preserve">structured sonographic descriptor vector (Table 2)</w:t>
            </w:r>
          </w:p>
        </w:tc>
        <w:tc>
          <w:tcPr/>
          <w:p>
            <w:pPr>
              <w:pStyle w:val="Compact"/>
              <w:spacing w:after="20" w:before="20" w:line="240" w:lineRule="auto"/>
            </w:pPr>
            <m:oMath>
              <m:sSup>
                <m:e>
                  <m:r>
                    <m:rPr>
                      <m:scr m:val="double-struck"/>
                      <m:sty m:val="p"/>
                    </m:rPr>
                    <m:t>R</m:t>
                  </m:r>
                </m:e>
                <m:sup>
                  <m:r>
                    <m:t>11</m:t>
                  </m:r>
                </m:sup>
              </m:sSup>
            </m:oMath>
            <w:r>
              <w:rPr>
                <w:sz w:val="18"/>
              </w:rPr>
              <w:t xml:space="preserve">​</w:t>
            </w:r>
          </w:p>
        </w:tc>
      </w:tr>
      <w:tr>
        <w:tc>
          <w:tcPr/>
          <w:p>
            <w:pPr>
              <w:pStyle w:val="Compact"/>
              <w:spacing w:after="20" w:before="20" w:line="240" w:lineRule="auto"/>
            </w:pPr>
            <m:oMath>
              <m:sSub>
                <m:e>
                  <m:r>
                    <m:t>l</m:t>
                  </m:r>
                </m:e>
                <m:sub>
                  <m:r>
                    <m:t>n</m:t>
                  </m:r>
                </m:sub>
              </m:sSub>
            </m:oMath>
            <w:r>
              <w:rPr>
                <w:sz w:val="18"/>
              </w:rPr>
              <w:t xml:space="preserve">,</w:t>
            </w:r>
            <w:r>
              <w:rPr>
                <w:sz w:val="18"/>
              </w:rPr>
              <w:t xml:space="preserve"> </w:t>
            </w:r>
            <m:oMath>
              <m:sSub>
                <m:e>
                  <m:r>
                    <m:t>c</m:t>
                  </m:r>
                </m:e>
                <m:sub>
                  <m:r>
                    <m:t>n</m:t>
                  </m:r>
                </m:sub>
              </m:sSub>
            </m:oMath>
            <w:r>
              <w:rPr>
                <w:sz w:val="18"/>
              </w:rPr>
              <w:t xml:space="preserve">,</w:t>
            </w:r>
            <w:r>
              <w:rPr>
                <w:sz w:val="18"/>
              </w:rPr>
              <w:t xml:space="preserve"> </w:t>
            </w:r>
            <m:oMath>
              <m:sSub>
                <m:e>
                  <m:r>
                    <m:t>r</m:t>
                  </m:r>
                </m:e>
                <m:sub>
                  <m:r>
                    <m:t>n</m:t>
                  </m:r>
                </m:sub>
              </m:sSub>
            </m:oMath>
            <w:r>
              <w:rPr>
                <w:sz w:val="18"/>
              </w:rPr>
              <w:t xml:space="preserve">,</w:t>
            </w:r>
            <w:r>
              <w:rPr>
                <w:sz w:val="18"/>
              </w:rPr>
              <w:t xml:space="preserve"> </w:t>
            </w:r>
            <m:oMath>
              <m:sSub>
                <m:e>
                  <m:r>
                    <m:t>g</m:t>
                  </m:r>
                </m:e>
                <m:sub>
                  <m:r>
                    <m:t>n</m:t>
                  </m:r>
                </m:sub>
              </m:sSub>
            </m:oMath>
          </w:p>
        </w:tc>
        <w:tc>
          <w:tcPr/>
          <w:p>
            <w:pPr>
              <w:pStyle w:val="Compact"/>
              <w:spacing w:after="20" w:before="20" w:line="240" w:lineRule="auto"/>
            </w:pPr>
            <w:r>
              <w:rPr>
                <w:sz w:val="18"/>
              </w:rPr>
              <w:t xml:space="preserve">laboratory, clinical, regional, cytological/molecular vectors (framework; not available in TN3K)</w:t>
            </w:r>
          </w:p>
        </w:tc>
        <w:tc>
          <w:tcPr/>
          <w:p>
            <w:pPr>
              <w:pStyle w:val="Compact"/>
              <w:spacing w:after="20" w:before="20" w:line="240" w:lineRule="auto"/>
            </w:pPr>
            <m:oMath>
              <m:sSup>
                <m:e>
                  <m:r>
                    <m:rPr>
                      <m:scr m:val="double-struck"/>
                      <m:sty m:val="p"/>
                    </m:rPr>
                    <m:t>R</m:t>
                  </m:r>
                </m:e>
                <m:sup>
                  <m:sSub>
                    <m:e>
                      <m:r>
                        <m:t>d</m:t>
                      </m:r>
                    </m:e>
                    <m:sub>
                      <m:r>
                        <m:t>l</m:t>
                      </m:r>
                    </m:sub>
                  </m:sSub>
                </m:sup>
              </m:sSup>
            </m:oMath>
            <w:r>
              <w:rPr>
                <w:sz w:val="18"/>
              </w:rPr>
              <w:t xml:space="preserve">,</w:t>
            </w:r>
            <w:r>
              <w:rPr>
                <w:sz w:val="18"/>
              </w:rPr>
              <w:t xml:space="preserve"> </w:t>
            </w:r>
            <m:oMath>
              <m:sSup>
                <m:e>
                  <m:r>
                    <m:rPr>
                      <m:scr m:val="double-struck"/>
                      <m:sty m:val="p"/>
                    </m:rPr>
                    <m:t>R</m:t>
                  </m:r>
                </m:e>
                <m:sup>
                  <m:sSub>
                    <m:e>
                      <m:r>
                        <m:t>d</m:t>
                      </m:r>
                    </m:e>
                    <m:sub>
                      <m:r>
                        <m:t>c</m:t>
                      </m:r>
                    </m:sub>
                  </m:sSub>
                </m:sup>
              </m:sSup>
            </m:oMath>
            <w:r>
              <w:rPr>
                <w:sz w:val="18"/>
              </w:rPr>
              <w:t xml:space="preserve">,</w:t>
            </w:r>
            <w:r>
              <w:rPr>
                <w:sz w:val="18"/>
              </w:rPr>
              <w:t xml:space="preserve"> </w:t>
            </w:r>
            <m:oMath>
              <m:sSup>
                <m:e>
                  <m:r>
                    <m:rPr>
                      <m:scr m:val="double-struck"/>
                      <m:sty m:val="p"/>
                    </m:rPr>
                    <m:t>R</m:t>
                  </m:r>
                </m:e>
                <m:sup>
                  <m:sSub>
                    <m:e>
                      <m:r>
                        <m:t>d</m:t>
                      </m:r>
                    </m:e>
                    <m:sub>
                      <m:r>
                        <m:t>r</m:t>
                      </m:r>
                    </m:sub>
                  </m:sSub>
                </m:sup>
              </m:sSup>
            </m:oMath>
            <w:r>
              <w:rPr>
                <w:sz w:val="18"/>
              </w:rPr>
              <w:t xml:space="preserve">,</w:t>
            </w:r>
            <w:r>
              <w:rPr>
                <w:sz w:val="18"/>
              </w:rPr>
              <w:t xml:space="preserve"> </w:t>
            </w:r>
            <m:oMath>
              <m:sSup>
                <m:e>
                  <m:r>
                    <m:rPr>
                      <m:scr m:val="double-struck"/>
                      <m:sty m:val="p"/>
                    </m:rPr>
                    <m:t>R</m:t>
                  </m:r>
                </m:e>
                <m:sup>
                  <m:sSub>
                    <m:e>
                      <m:r>
                        <m:t>d</m:t>
                      </m:r>
                    </m:e>
                    <m:sub>
                      <m:r>
                        <m:t>g</m:t>
                      </m:r>
                    </m:sub>
                  </m:sSub>
                </m:sup>
              </m:sSup>
            </m:oMath>
          </w:p>
        </w:tc>
      </w:tr>
      <w:tr>
        <w:tc>
          <w:tcPr/>
          <w:p>
            <w:pPr>
              <w:pStyle w:val="Compact"/>
              <w:spacing w:after="20" w:before="20" w:line="240" w:lineRule="auto"/>
            </w:pPr>
            <m:oMath>
              <m:sSub>
                <m:e>
                  <m:r>
                    <m:t>Q</m:t>
                  </m:r>
                </m:e>
                <m:sub>
                  <m:r>
                    <m:t>m</m:t>
                  </m:r>
                </m:sub>
              </m:sSub>
            </m:oMath>
            <w:r>
              <w:rPr>
                <w:sz w:val="18"/>
              </w:rPr>
              <w:t xml:space="preserve">​</w:t>
            </w:r>
          </w:p>
        </w:tc>
        <w:tc>
          <w:tcPr/>
          <w:p>
            <w:pPr>
              <w:pStyle w:val="Compact"/>
              <w:spacing w:after="20" w:before="20" w:line="240" w:lineRule="auto"/>
            </w:pPr>
            <w:r>
              <w:rPr>
                <w:sz w:val="18"/>
              </w:rPr>
              <w:t xml:space="preserve">data-quality coefficient of modality m</w:t>
            </w:r>
          </w:p>
        </w:tc>
        <w:tc>
          <w:tcPr/>
          <w:p>
            <w:pPr>
              <w:pStyle w:val="Compact"/>
              <w:spacing w:after="20" w:before="20" w:line="240" w:lineRule="auto"/>
            </w:pPr>
            <w:r>
              <w:rPr>
                <w:sz w:val="18"/>
              </w:rPr>
              <w:t xml:space="preserve">[0, 1]</w:t>
            </w:r>
          </w:p>
        </w:tc>
      </w:tr>
      <w:tr>
        <w:tc>
          <w:tcPr/>
          <w:p>
            <w:pPr>
              <w:pStyle w:val="Compact"/>
              <w:spacing w:after="20" w:before="20" w:line="240" w:lineRule="auto"/>
            </w:pPr>
            <m:oMath>
              <m:sSub>
                <m:e>
                  <m:r>
                    <m:t>h</m:t>
                  </m:r>
                </m:e>
                <m:sub>
                  <m:r>
                    <m:t>i</m:t>
                  </m:r>
                  <m:r>
                    <m:t>m</m:t>
                  </m:r>
                  <m:r>
                    <m:t>g</m:t>
                  </m:r>
                </m:sub>
              </m:sSub>
            </m:oMath>
            <w:r>
              <w:rPr>
                <w:sz w:val="18"/>
              </w:rPr>
              <w:t xml:space="preserve">​</w:t>
            </w:r>
          </w:p>
        </w:tc>
        <w:tc>
          <w:tcPr/>
          <w:p>
            <w:pPr>
              <w:pStyle w:val="Compact"/>
              <w:spacing w:after="20" w:before="20" w:line="240" w:lineRule="auto"/>
            </w:pPr>
            <w:r>
              <w:rPr>
                <w:sz w:val="18"/>
              </w:rPr>
              <w:t xml:space="preserve">image embedding from the convolutional backbone</w:t>
            </w:r>
          </w:p>
        </w:tc>
        <w:tc>
          <w:tcPr/>
          <w:p>
            <w:pPr>
              <w:pStyle w:val="Compact"/>
              <w:spacing w:after="20" w:before="20" w:line="240" w:lineRule="auto"/>
            </w:pPr>
            <m:oMath>
              <m:sSup>
                <m:e>
                  <m:r>
                    <m:rPr>
                      <m:scr m:val="double-struck"/>
                      <m:sty m:val="p"/>
                    </m:rPr>
                    <m:t>R</m:t>
                  </m:r>
                </m:e>
                <m:sup>
                  <m:sSub>
                    <m:e>
                      <m:r>
                        <m:t>d</m:t>
                      </m:r>
                    </m:e>
                    <m:sub>
                      <m:r>
                        <m:t>h</m:t>
                      </m:r>
                    </m:sub>
                  </m:sSub>
                </m:sup>
              </m:sSup>
            </m:oMath>
            <w:r>
              <w:rPr>
                <w:sz w:val="18"/>
              </w:rPr>
              <w:t xml:space="preserve">,</w:t>
            </w:r>
            <w:r>
              <w:rPr>
                <w:sz w:val="18"/>
              </w:rPr>
              <w:t xml:space="preserve"> </w:t>
            </w:r>
            <m:oMath>
              <m:sSub>
                <m:e>
                  <m:r>
                    <m:t>d</m:t>
                  </m:r>
                </m:e>
                <m:sub>
                  <m:r>
                    <m:t>h</m:t>
                  </m:r>
                </m:sub>
              </m:sSub>
            </m:oMath>
            <w:r>
              <w:rPr>
                <w:sz w:val="18"/>
              </w:rPr>
              <w:t xml:space="preserve"> </w:t>
            </w:r>
            <w:r>
              <w:rPr>
                <w:sz w:val="18"/>
              </w:rPr>
              <w:t xml:space="preserve">= 128</w:t>
            </w:r>
          </w:p>
        </w:tc>
      </w:tr>
      <w:tr>
        <w:tc>
          <w:tcPr/>
          <w:p>
            <w:pPr>
              <w:pStyle w:val="Compact"/>
              <w:spacing w:after="20" w:before="20" w:line="240" w:lineRule="auto"/>
            </w:pPr>
            <m:oMath>
              <m:sSub>
                <m:e>
                  <m:r>
                    <m:t>z</m:t>
                  </m:r>
                </m:e>
                <m:sub>
                  <m:r>
                    <m:t>n</m:t>
                  </m:r>
                </m:sub>
              </m:sSub>
            </m:oMath>
            <w:r>
              <w:rPr>
                <w:sz w:val="18"/>
              </w:rPr>
              <w:t xml:space="preserve">​</w:t>
            </w:r>
          </w:p>
        </w:tc>
        <w:tc>
          <w:tcPr/>
          <w:p>
            <w:pPr>
              <w:pStyle w:val="Compact"/>
              <w:spacing w:after="20" w:before="20" w:line="240" w:lineRule="auto"/>
            </w:pPr>
            <w:r>
              <w:rPr>
                <w:sz w:val="18"/>
              </w:rPr>
              <w:t xml:space="preserve">fused feature vector of nodule n</w:t>
            </w:r>
          </w:p>
        </w:tc>
        <w:tc>
          <w:tcPr/>
          <w:p>
            <w:pPr>
              <w:pStyle w:val="Compact"/>
              <w:spacing w:after="20" w:before="20" w:line="240" w:lineRule="auto"/>
            </w:pPr>
            <m:oMath>
              <m:sSup>
                <m:e>
                  <m:r>
                    <m:rPr>
                      <m:scr m:val="double-struck"/>
                      <m:sty m:val="p"/>
                    </m:rPr>
                    <m:t>R</m:t>
                  </m:r>
                </m:e>
                <m:sup>
                  <m:sSub>
                    <m:e>
                      <m:r>
                        <m:t>d</m:t>
                      </m:r>
                    </m:e>
                    <m:sub>
                      <m:r>
                        <m:t>z</m:t>
                      </m:r>
                    </m:sub>
                  </m:sSub>
                </m:sup>
              </m:sSup>
            </m:oMath>
            <w:r>
              <w:rPr>
                <w:sz w:val="18"/>
              </w:rPr>
              <w:t xml:space="preserve">,</w:t>
            </w:r>
            <w:r>
              <w:rPr>
                <w:sz w:val="18"/>
              </w:rPr>
              <w:t xml:space="preserve"> </w:t>
            </w:r>
            <m:oMath>
              <m:sSub>
                <m:e>
                  <m:r>
                    <m:t>d</m:t>
                  </m:r>
                </m:e>
                <m:sub>
                  <m:r>
                    <m:t>z</m:t>
                  </m:r>
                </m:sub>
              </m:sSub>
            </m:oMath>
            <w:r>
              <w:rPr>
                <w:sz w:val="18"/>
              </w:rPr>
              <w:t xml:space="preserve"> </w:t>
            </w:r>
            <w:r>
              <w:rPr>
                <w:sz w:val="18"/>
              </w:rPr>
              <w:t xml:space="preserve">= 141 on TN3K</w:t>
            </w:r>
          </w:p>
        </w:tc>
      </w:tr>
      <w:tr>
        <w:tc>
          <w:tcPr/>
          <w:p>
            <w:pPr>
              <w:pStyle w:val="Compact"/>
              <w:spacing w:after="20" w:before="20" w:line="240" w:lineRule="auto"/>
            </w:pPr>
            <m:oMath>
              <m:sSub>
                <m:e>
                  <m:r>
                    <m:t>s</m:t>
                  </m:r>
                </m:e>
                <m:sub>
                  <m:r>
                    <m:t>n</m:t>
                  </m:r>
                </m:sub>
              </m:sSub>
            </m:oMath>
            <w:r>
              <w:rPr>
                <w:sz w:val="18"/>
              </w:rPr>
              <w:t xml:space="preserve">​</w:t>
            </w:r>
          </w:p>
        </w:tc>
        <w:tc>
          <w:tcPr/>
          <w:p>
            <w:pPr>
              <w:pStyle w:val="Compact"/>
              <w:spacing w:after="20" w:before="20" w:line="240" w:lineRule="auto"/>
            </w:pPr>
            <w:r>
              <w:rPr>
                <w:sz w:val="18"/>
              </w:rPr>
              <w:t xml:space="preserve">sample membership of nodule n in the fuzzy SVM</w:t>
            </w:r>
          </w:p>
        </w:tc>
        <w:tc>
          <w:tcPr/>
          <w:p>
            <w:pPr>
              <w:pStyle w:val="Compact"/>
              <w:spacing w:after="20" w:before="20" w:line="240" w:lineRule="auto"/>
            </w:pPr>
            <w:r>
              <w:rPr>
                <w:sz w:val="18"/>
              </w:rPr>
              <w:t xml:space="preserve">(0, 1]</w:t>
            </w:r>
          </w:p>
        </w:tc>
      </w:tr>
      <w:tr>
        <w:tc>
          <w:tcPr/>
          <w:p>
            <w:pPr>
              <w:pStyle w:val="Compact"/>
              <w:spacing w:after="20" w:before="20" w:line="240" w:lineRule="auto"/>
            </w:pPr>
            <m:oMath>
              <m:sSub>
                <m:e>
                  <m:r>
                    <m:t>p</m:t>
                  </m:r>
                </m:e>
                <m:sub>
                  <m:r>
                    <m:t>k</m:t>
                  </m:r>
                </m:sub>
              </m:sSub>
            </m:oMath>
            <w:r>
              <w:rPr>
                <w:sz w:val="18"/>
              </w:rPr>
              <w:t xml:space="preserve">​</w:t>
            </w:r>
          </w:p>
        </w:tc>
        <w:tc>
          <w:tcPr/>
          <w:p>
            <w:pPr>
              <w:pStyle w:val="Compact"/>
              <w:spacing w:after="20" w:before="20" w:line="240" w:lineRule="auto"/>
            </w:pPr>
            <w:r>
              <w:rPr>
                <w:sz w:val="18"/>
              </w:rPr>
              <w:t xml:space="preserve">malignancy probability from learner k</w:t>
            </w:r>
          </w:p>
        </w:tc>
        <w:tc>
          <w:tcPr/>
          <w:p>
            <w:pPr>
              <w:pStyle w:val="Compact"/>
              <w:spacing w:after="20" w:before="20" w:line="240" w:lineRule="auto"/>
            </w:pPr>
            <w:r>
              <w:rPr>
                <w:sz w:val="18"/>
              </w:rPr>
              <w:t xml:space="preserve">[0, 1]</w:t>
            </w:r>
          </w:p>
        </w:tc>
      </w:tr>
      <w:tr>
        <w:tc>
          <w:tcPr/>
          <w:p>
            <w:pPr>
              <w:pStyle w:val="Compact"/>
              <w:spacing w:after="20" w:before="20" w:line="240" w:lineRule="auto"/>
            </w:pPr>
            <m:oMath>
              <m:sSub>
                <m:e>
                  <m:r>
                    <m:t>ω</m:t>
                  </m:r>
                </m:e>
                <m:sub>
                  <m:r>
                    <m:t>k</m:t>
                  </m:r>
                </m:sub>
              </m:sSub>
            </m:oMath>
            <w:r>
              <w:rPr>
                <w:sz w:val="18"/>
              </w:rPr>
              <w:t xml:space="preserve">​</w:t>
            </w:r>
          </w:p>
        </w:tc>
        <w:tc>
          <w:tcPr/>
          <w:p>
            <w:pPr>
              <w:pStyle w:val="Compact"/>
              <w:spacing w:after="20" w:before="20" w:line="240" w:lineRule="auto"/>
            </w:pPr>
            <w:r>
              <w:rPr>
                <w:sz w:val="18"/>
              </w:rPr>
              <w:t xml:space="preserve">ensemble weight of learner k</w:t>
            </w:r>
          </w:p>
        </w:tc>
        <w:tc>
          <w:tcPr/>
          <w:p>
            <w:pPr>
              <w:pStyle w:val="Compact"/>
              <w:spacing w:after="20" w:before="20" w:line="240" w:lineRule="auto"/>
            </w:pPr>
            <w:r>
              <w:rPr>
                <w:sz w:val="18"/>
              </w:rPr>
              <w:t xml:space="preserve">[0, 1], Σ</w:t>
            </w:r>
            <m:oMath>
              <m:sSub>
                <m:e>
                  <m:r>
                    <m:t>ω</m:t>
                  </m:r>
                </m:e>
                <m:sub>
                  <m:r>
                    <m:t>k</m:t>
                  </m:r>
                </m:sub>
              </m:sSub>
            </m:oMath>
            <w:r>
              <w:rPr>
                <w:sz w:val="18"/>
              </w:rPr>
              <w:t xml:space="preserve"> </w:t>
            </w:r>
            <w:r>
              <w:rPr>
                <w:sz w:val="18"/>
              </w:rPr>
              <w:t xml:space="preserve">= 1</w:t>
            </w:r>
          </w:p>
        </w:tc>
      </w:tr>
      <w:tr>
        <w:tc>
          <w:tcPr/>
          <w:p>
            <w:pPr>
              <w:pStyle w:val="Compact"/>
              <w:spacing w:after="20" w:before="20" w:line="240" w:lineRule="auto"/>
            </w:pPr>
            <m:oMath>
              <m:sSub>
                <m:e>
                  <m:r>
                    <m:rPr>
                      <m:sty m:val="p"/>
                    </m:rPr>
                    <m:t>Δ</m:t>
                  </m:r>
                </m:e>
                <m:sub>
                  <m:r>
                    <m:t>r</m:t>
                  </m:r>
                  <m:r>
                    <m:t>e</m:t>
                  </m:r>
                  <m:r>
                    <m:t>g</m:t>
                  </m:r>
                </m:sub>
              </m:sSub>
            </m:oMath>
            <w:r>
              <w:rPr>
                <w:sz w:val="18"/>
              </w:rPr>
              <w:t xml:space="preserve">​</w:t>
            </w:r>
          </w:p>
        </w:tc>
        <w:tc>
          <w:tcPr/>
          <w:p>
            <w:pPr>
              <w:pStyle w:val="Compact"/>
              <w:spacing w:after="20" w:before="20" w:line="240" w:lineRule="auto"/>
            </w:pPr>
            <w:r>
              <w:rPr>
                <w:sz w:val="18"/>
              </w:rPr>
              <w:t xml:space="preserve">regional prior correction</w:t>
            </w:r>
          </w:p>
        </w:tc>
        <w:tc>
          <w:tcPr/>
          <w:p>
            <w:pPr>
              <w:pStyle w:val="Compact"/>
              <w:spacing w:after="20" w:before="20" w:line="240" w:lineRule="auto"/>
            </w:pPr>
            <w:r>
              <w:rPr>
                <w:sz w:val="18"/>
              </w:rPr>
              <w:t xml:space="preserve">ℝ</w:t>
            </w:r>
          </w:p>
        </w:tc>
      </w:tr>
      <w:tr>
        <w:tc>
          <w:tcPr/>
          <w:p>
            <w:pPr>
              <w:pStyle w:val="Compact"/>
              <w:spacing w:after="20" w:before="20" w:line="240" w:lineRule="auto"/>
            </w:pPr>
            <m:oMath>
              <m:sSup>
                <m:e>
                  <m:r>
                    <m:t>t</m:t>
                  </m:r>
                </m:e>
                <m:sup>
                  <m:r>
                    <m:rPr>
                      <m:sty m:val="p"/>
                    </m:rPr>
                    <m:t>*</m:t>
                  </m:r>
                </m:sup>
              </m:sSup>
            </m:oMath>
            <w:r>
              <w:rPr>
                <w:sz w:val="18"/>
              </w:rPr>
              <w:t xml:space="preserve">​</w:t>
            </w:r>
          </w:p>
        </w:tc>
        <w:tc>
          <w:tcPr/>
          <w:p>
            <w:pPr>
              <w:pStyle w:val="Compact"/>
              <w:spacing w:after="20" w:before="20" w:line="240" w:lineRule="auto"/>
            </w:pPr>
            <w:r>
              <w:rPr>
                <w:sz w:val="18"/>
              </w:rPr>
              <w:t xml:space="preserve">decision threshold</w:t>
            </w:r>
          </w:p>
        </w:tc>
        <w:tc>
          <w:tcPr/>
          <w:p>
            <w:pPr>
              <w:pStyle w:val="Compact"/>
              <w:spacing w:after="20" w:before="20" w:line="240" w:lineRule="auto"/>
            </w:pPr>
            <w:r>
              <w:rPr>
                <w:sz w:val="18"/>
              </w:rPr>
              <w:t xml:space="preserve">(0, 1)</w:t>
            </w:r>
          </w:p>
        </w:tc>
      </w:tr>
      <w:tr>
        <w:tc>
          <w:tcPr/>
          <w:p>
            <w:pPr>
              <w:pStyle w:val="Compact"/>
              <w:spacing w:after="20" w:before="20" w:line="240" w:lineRule="auto"/>
            </w:pPr>
            <m:oMath>
              <m:sSub>
                <m:e>
                  <m:r>
                    <m:t>y</m:t>
                  </m:r>
                </m:e>
                <m:sub>
                  <m:r>
                    <m:t>n</m:t>
                  </m:r>
                </m:sub>
              </m:sSub>
            </m:oMath>
            <w:r>
              <w:rPr>
                <w:sz w:val="18"/>
              </w:rPr>
              <w:t xml:space="preserve">,</w:t>
            </w:r>
            <w:r>
              <w:rPr>
                <w:sz w:val="18"/>
              </w:rPr>
              <w:t xml:space="preserve"> </w:t>
            </w:r>
            <m:oMath>
              <m:sSub>
                <m:e>
                  <m:acc>
                    <m:accPr>
                      <m:chr m:val="̂"/>
                    </m:accPr>
                    <m:e>
                      <m:r>
                        <m:t>y</m:t>
                      </m:r>
                    </m:e>
                  </m:acc>
                </m:e>
                <m:sub>
                  <m:r>
                    <m:t>n</m:t>
                  </m:r>
                </m:sub>
              </m:sSub>
            </m:oMath>
          </w:p>
        </w:tc>
        <w:tc>
          <w:tcPr/>
          <w:p>
            <w:pPr>
              <w:pStyle w:val="Compact"/>
              <w:spacing w:after="20" w:before="20" w:line="240" w:lineRule="auto"/>
            </w:pPr>
            <w:r>
              <w:rPr>
                <w:sz w:val="18"/>
              </w:rPr>
              <w:t xml:space="preserve">reference label and predicted label of nodule n (1 = malignant)</w:t>
            </w:r>
          </w:p>
        </w:tc>
        <w:tc>
          <w:tcPr/>
          <w:p>
            <w:pPr>
              <w:pStyle w:val="Compact"/>
              <w:spacing w:after="20" w:before="20" w:line="240" w:lineRule="auto"/>
            </w:pPr>
            <w:r>
              <w:rPr>
                <w:sz w:val="18"/>
              </w:rPr>
              <w:t xml:space="preserve">{0, 1}</w:t>
            </w:r>
          </w:p>
        </w:tc>
      </w:tr>
    </w:tbl>
    <w:p>
      <w:pPr>
        <w:pStyle w:val="FirstParagraph"/>
      </w:pPr>
      <w:r>
        <w:t xml:space="preserve">μ denotes pixel membership only and s sample membership only; α and β appear only in Eq. (4), γ only in Eq. (5), λ only in Eq. (8) and τ only in Eq. (14).</w:t>
      </w:r>
    </w:p>
    <w:p>
      <w:pPr>
        <w:pStyle w:val="Heading1"/>
      </w:pPr>
      <w:bookmarkStart w:id="19" w:name="_47e9494c25988c85c190dae8b7b8874e3b8e6c0"/>
      <w:r>
        <w:t xml:space="preserve">3.4 Adaptive texture–contrast fuzzy membership (ATCFM)</w:t>
      </w:r>
      <w:bookmarkEnd w:id="19"/>
    </w:p>
    <w:p>
      <w:pPr>
        <w:pStyle w:val="FirstParagraph"/>
      </w:pPr>
      <w:r>
        <w:t xml:space="preserve">Each pixel receives a membership μ(p) in [0, 1] that is high inside homogeneous tissue and low at noisy or edge pixels. The image is first min–max normalized:</w:t>
      </w:r>
    </w:p>
    <w:p>
      <w:pPr>
        <w:pStyle w:val="BodyText"/>
      </w:pPr>
      <m:oMathPara>
        <m:oMathParaPr>
          <m:jc m:val="center"/>
        </m:oMathParaPr>
        <m:oMath>
          <m:acc>
            <m:accPr>
              <m:chr m:val="̃"/>
            </m:accPr>
            <m:e>
              <m:r>
                <m:t>x</m:t>
              </m:r>
            </m:e>
          </m:acc>
          <m:r>
            <m:rPr>
              <m:sty m:val="p"/>
            </m:rPr>
            <m:t>(</m:t>
          </m:r>
          <m:r>
            <m:t>p</m:t>
          </m:r>
          <m:r>
            <m:rPr>
              <m:sty m:val="p"/>
            </m:rPr>
            <m:t>)</m:t>
          </m:r>
          <m:r>
            <m:rPr>
              <m:sty m:val="p"/>
            </m:rPr>
            <m:t>=</m:t>
          </m:r>
          <m:f>
            <m:fPr>
              <m:type m:val="bar"/>
            </m:fPr>
            <m:num>
              <m:r>
                <m:t>I</m:t>
              </m:r>
              <m:r>
                <m:rPr>
                  <m:sty m:val="p"/>
                </m:rPr>
                <m:t>(</m:t>
              </m:r>
              <m:r>
                <m:t>p</m:t>
              </m:r>
              <m:r>
                <m:rPr>
                  <m:sty m:val="p"/>
                </m:rPr>
                <m:t>)</m:t>
              </m:r>
              <m:r>
                <m:rPr>
                  <m:sty m:val="p"/>
                </m:rPr>
                <m:t>−</m:t>
              </m:r>
              <m:limLow>
                <m:e>
                  <m:r>
                    <m:rPr>
                      <m:sty m:val="p"/>
                    </m:rPr>
                    <m:t>min</m:t>
                  </m:r>
                </m:e>
                <m:lim>
                  <m:r>
                    <m:t>q</m:t>
                  </m:r>
                </m:lim>
              </m:limLow>
              <m:r>
                <m:t>I</m:t>
              </m:r>
              <m:r>
                <m:rPr>
                  <m:sty m:val="p"/>
                </m:rPr>
                <m:t>(</m:t>
              </m:r>
              <m:r>
                <m:t>q</m:t>
              </m:r>
              <m:r>
                <m:rPr>
                  <m:sty m:val="p"/>
                </m:rPr>
                <m:t>)</m:t>
              </m:r>
            </m:num>
            <m:den>
              <m:limLow>
                <m:e>
                  <m:r>
                    <m:rPr>
                      <m:sty m:val="p"/>
                    </m:rPr>
                    <m:t>max</m:t>
                  </m:r>
                </m:e>
                <m:lim>
                  <m:r>
                    <m:t>q</m:t>
                  </m:r>
                </m:lim>
              </m:limLow>
              <m:r>
                <m:t>I</m:t>
              </m:r>
              <m:r>
                <m:rPr>
                  <m:sty m:val="p"/>
                </m:rPr>
                <m:t>(</m:t>
              </m:r>
              <m:r>
                <m:t>q</m:t>
              </m:r>
              <m:r>
                <m:rPr>
                  <m:sty m:val="p"/>
                </m:rPr>
                <m:t>)</m:t>
              </m:r>
              <m:r>
                <m:rPr>
                  <m:sty m:val="p"/>
                </m:rPr>
                <m:t>−</m:t>
              </m:r>
              <m:limLow>
                <m:e>
                  <m:r>
                    <m:rPr>
                      <m:sty m:val="p"/>
                    </m:rPr>
                    <m:t>min</m:t>
                  </m:r>
                </m:e>
                <m:lim>
                  <m:r>
                    <m:t>q</m:t>
                  </m:r>
                </m:lim>
              </m:limLow>
              <m:r>
                <m:t>I</m:t>
              </m:r>
              <m:r>
                <m:rPr>
                  <m:sty m:val="p"/>
                </m:rPr>
                <m:t>(</m:t>
              </m:r>
              <m:r>
                <m:t>q</m:t>
              </m:r>
              <m:r>
                <m:rPr>
                  <m:sty m:val="p"/>
                </m:rPr>
                <m:t>)</m:t>
              </m:r>
            </m:den>
          </m:f>
          <m:r>
            <m:t> </m:t>
          </m:r>
          <m:r>
            <m:t> </m:t>
          </m:r>
          <m:r>
            <m:rPr>
              <m:nor/>
            </m:rPr>
            <m:t>(1)</m:t>
          </m:r>
        </m:oMath>
      </m:oMathPara>
    </w:p>
    <w:p>
      <w:pPr>
        <w:pStyle w:val="FirstParagraph"/>
      </w:pPr>
      <w:r>
        <w:t xml:space="preserve">Local statistics are computed over the k × k window</w:t>
      </w:r>
      <w:r>
        <w:t xml:space="preserve"> </w:t>
      </w:r>
      <m:oMath>
        <m:sSub>
          <m:e>
            <m:r>
              <m:t>W</m:t>
            </m:r>
          </m:e>
          <m:sub>
            <m:r>
              <m:t>p</m:t>
            </m:r>
          </m:sub>
        </m:sSub>
      </m:oMath>
      <w:r>
        <w:t xml:space="preserve"> </w:t>
      </w:r>
      <w:r>
        <w:t xml:space="preserve">centered at p:</w:t>
      </w:r>
    </w:p>
    <w:p>
      <w:pPr>
        <w:pStyle w:val="BodyText"/>
      </w:pPr>
      <m:oMathPara>
        <m:oMathParaPr>
          <m:jc m:val="center"/>
        </m:oMathParaPr>
        <m:oMath>
          <m:r>
            <m:t>c</m:t>
          </m:r>
          <m:r>
            <m:rPr>
              <m:sty m:val="p"/>
            </m:rPr>
            <m:t>(</m:t>
          </m:r>
          <m:r>
            <m:t>p</m:t>
          </m:r>
          <m:r>
            <m:rPr>
              <m:sty m:val="p"/>
            </m:rPr>
            <m:t>)</m:t>
          </m:r>
          <m:r>
            <m:rPr>
              <m:sty m:val="p"/>
            </m:rPr>
            <m:t>=</m:t>
          </m:r>
          <m:f>
            <m:fPr>
              <m:type m:val="bar"/>
            </m:fPr>
            <m:num>
              <m:r>
                <m:t>1</m:t>
              </m:r>
            </m:num>
            <m:den>
              <m:r>
                <m:rPr>
                  <m:sty m:val="p"/>
                </m:rPr>
                <m:t>|</m:t>
              </m:r>
              <m:sSub>
                <m:e>
                  <m:r>
                    <m:t>W</m:t>
                  </m:r>
                </m:e>
                <m:sub>
                  <m:r>
                    <m:t>p</m:t>
                  </m:r>
                </m:sub>
              </m:sSub>
              <m:r>
                <m:rPr>
                  <m:sty m:val="p"/>
                </m:rPr>
                <m:t>|</m:t>
              </m:r>
            </m:den>
          </m:f>
          <m:nary>
            <m:naryPr>
              <m:chr m:val="∑"/>
              <m:limLoc m:val="undOvr"/>
              <m:subHide m:val="off"/>
              <m:supHide m:val="on"/>
            </m:naryPr>
            <m:sub>
              <m:r>
                <m:t>q</m:t>
              </m:r>
              <m:r>
                <m:rPr>
                  <m:sty m:val="p"/>
                </m:rPr>
                <m:t>∈</m:t>
              </m:r>
              <m:sSub>
                <m:e>
                  <m:r>
                    <m:t>W</m:t>
                  </m:r>
                </m:e>
                <m:sub>
                  <m:r>
                    <m:t>p</m:t>
                  </m:r>
                </m:sub>
              </m:sSub>
            </m:sub>
            <m:sup>
              <m:r>
                <m:t>​</m:t>
              </m:r>
            </m:sup>
            <m:e>
              <m:acc>
                <m:accPr>
                  <m:chr m:val="̃"/>
                </m:accPr>
                <m:e>
                  <m:r>
                    <m:t>x</m:t>
                  </m:r>
                </m:e>
              </m:acc>
            </m:e>
          </m:nary>
          <m:r>
            <m:rPr>
              <m:sty m:val="p"/>
            </m:rPr>
            <m:t>(</m:t>
          </m:r>
          <m:r>
            <m:t>q</m:t>
          </m:r>
          <m:r>
            <m:rPr>
              <m:sty m:val="p"/>
            </m:rPr>
            <m:t>)</m:t>
          </m:r>
          <m:r>
            <m:rPr>
              <m:sty m:val="p"/>
            </m:rPr>
            <m:t>,</m:t>
          </m:r>
          <m:r>
            <m:t>  </m:t>
          </m:r>
          <m:r>
            <m:t>σ</m:t>
          </m:r>
          <m:r>
            <m:rPr>
              <m:sty m:val="p"/>
            </m:rPr>
            <m:t>(</m:t>
          </m:r>
          <m:r>
            <m:t>p</m:t>
          </m:r>
          <m:r>
            <m:rPr>
              <m:sty m:val="p"/>
            </m:rPr>
            <m:t>)</m:t>
          </m:r>
          <m:r>
            <m:rPr>
              <m:sty m:val="p"/>
            </m:rPr>
            <m:t>=</m:t>
          </m:r>
          <m:rad>
            <m:radPr>
              <m:degHide m:val="on"/>
            </m:radPr>
            <m:deg/>
            <m:e>
              <m:f>
                <m:fPr>
                  <m:type m:val="bar"/>
                </m:fPr>
                <m:num>
                  <m:r>
                    <m:t>1</m:t>
                  </m:r>
                </m:num>
                <m:den>
                  <m:r>
                    <m:rPr>
                      <m:sty m:val="p"/>
                    </m:rPr>
                    <m:t>|</m:t>
                  </m:r>
                  <m:sSub>
                    <m:e>
                      <m:r>
                        <m:t>W</m:t>
                      </m:r>
                    </m:e>
                    <m:sub>
                      <m:r>
                        <m:t>p</m:t>
                      </m:r>
                    </m:sub>
                  </m:sSub>
                  <m:r>
                    <m:rPr>
                      <m:sty m:val="p"/>
                    </m:rPr>
                    <m:t>|</m:t>
                  </m:r>
                </m:den>
              </m:f>
              <m:nary>
                <m:naryPr>
                  <m:chr m:val="∑"/>
                  <m:limLoc m:val="undOvr"/>
                  <m:subHide m:val="off"/>
                  <m:supHide m:val="on"/>
                </m:naryPr>
                <m:sub>
                  <m:r>
                    <m:t>q</m:t>
                  </m:r>
                  <m:r>
                    <m:rPr>
                      <m:sty m:val="p"/>
                    </m:rPr>
                    <m:t>∈</m:t>
                  </m:r>
                  <m:sSub>
                    <m:e>
                      <m:r>
                        <m:t>W</m:t>
                      </m:r>
                    </m:e>
                    <m:sub>
                      <m:r>
                        <m:t>p</m:t>
                      </m:r>
                    </m:sub>
                  </m:sSub>
                </m:sub>
                <m:sup>
                  <m:r>
                    <m:t>​</m:t>
                  </m:r>
                </m:sup>
                <m:e>
                  <m:r>
                    <m:rPr>
                      <m:sty m:val="p"/>
                    </m:rPr>
                    <m:t>(</m:t>
                  </m:r>
                </m:e>
              </m:nary>
              <m:acc>
                <m:accPr>
                  <m:chr m:val="̃"/>
                </m:accPr>
                <m:e>
                  <m:r>
                    <m:t>x</m:t>
                  </m:r>
                </m:e>
              </m:acc>
              <m:r>
                <m:rPr>
                  <m:sty m:val="p"/>
                </m:rPr>
                <m:t>(</m:t>
              </m:r>
              <m:r>
                <m:t>q</m:t>
              </m:r>
              <m:r>
                <m:rPr>
                  <m:sty m:val="p"/>
                </m:rPr>
                <m:t>)</m:t>
              </m:r>
              <m:r>
                <m:rPr>
                  <m:sty m:val="p"/>
                </m:rPr>
                <m:t>−</m:t>
              </m:r>
              <m:r>
                <m:t>c</m:t>
              </m:r>
              <m:r>
                <m:rPr>
                  <m:sty m:val="p"/>
                </m:rPr>
                <m:t>(</m:t>
              </m:r>
              <m:r>
                <m:t>p</m:t>
              </m:r>
              <m:r>
                <m:rPr>
                  <m:sty m:val="p"/>
                </m:rPr>
                <m:t>)</m:t>
              </m:r>
              <m:sSup>
                <m:e>
                  <m:r>
                    <m:rPr>
                      <m:sty m:val="p"/>
                    </m:rPr>
                    <m:t>)</m:t>
                  </m:r>
                </m:e>
                <m:sup>
                  <m:r>
                    <m:t>2</m:t>
                  </m:r>
                </m:sup>
              </m:sSup>
            </m:e>
          </m:rad>
          <m:r>
            <m:t> </m:t>
          </m:r>
          <m:r>
            <m:t> </m:t>
          </m:r>
          <m:r>
            <m:rPr>
              <m:nor/>
            </m:rPr>
            <m:t>(2)</m:t>
          </m:r>
        </m:oMath>
      </m:oMathPara>
    </w:p>
    <w:p>
      <w:pPr>
        <w:pStyle w:val="FirstParagraph"/>
      </w:pPr>
      <w:r>
        <w:t xml:space="preserve">Three descriptors in [0, 1] enter the membership: the texture T(p), defined as the Shannon entropy of the L = 256-bin histogram of</w:t>
      </w:r>
      <w:r>
        <w:t xml:space="preserve"> </w:t>
      </w:r>
      <m:oMath>
        <m:sSub>
          <m:e>
            <m:r>
              <m:t>W</m:t>
            </m:r>
          </m:e>
          <m:sub>
            <m:r>
              <m:t>p</m:t>
            </m:r>
          </m:sub>
        </m:sSub>
      </m:oMath>
      <w:r>
        <w:t xml:space="preserve"> </w:t>
      </w:r>
      <w:r>
        <w:t xml:space="preserve">divided by log2 L; the Michelson contrast K(p) of</w:t>
      </w:r>
      <w:r>
        <w:t xml:space="preserve"> </w:t>
      </w:r>
      <m:oMath>
        <m:sSub>
          <m:e>
            <m:r>
              <m:t>W</m:t>
            </m:r>
          </m:e>
          <m:sub>
            <m:r>
              <m:t>p</m:t>
            </m:r>
          </m:sub>
        </m:sSub>
      </m:oMath>
      <w:r>
        <w:t xml:space="preserve">; and an image quality coefficient q, computed once per image from the noise estimate</w:t>
      </w:r>
      <w:r>
        <w:t xml:space="preserve"> </w:t>
      </w:r>
      <m:oMath>
        <m:sSub>
          <m:e>
            <m:r>
              <m:t>σ</m:t>
            </m:r>
          </m:e>
          <m:sub>
            <m:r>
              <m:t>n</m:t>
            </m:r>
            <m:r>
              <m:t>o</m:t>
            </m:r>
            <m:r>
              <m:t>i</m:t>
            </m:r>
            <m:r>
              <m:t>s</m:t>
            </m:r>
            <m:r>
              <m:t>e</m:t>
            </m:r>
          </m:sub>
        </m:sSub>
      </m:oMath>
      <w:r>
        <w:t xml:space="preserve"> </w:t>
      </w:r>
      <w:r>
        <w:t xml:space="preserve">of the Laplacian method of Immerkær [26], with SN</w:t>
      </w:r>
      <m:oMath>
        <m:sSub>
          <m:e>
            <m:r>
              <m:t>R</m:t>
            </m:r>
          </m:e>
          <m:sub>
            <m:r>
              <m:t>0</m:t>
            </m:r>
          </m:sub>
        </m:sSub>
      </m:oMath>
      <w:r>
        <w:t xml:space="preserve"> </w:t>
      </w:r>
      <w:r>
        <w:t xml:space="preserve">the median SNR of the training images:</w:t>
      </w:r>
    </w:p>
    <w:p>
      <w:pPr>
        <w:pStyle w:val="BodyText"/>
      </w:pPr>
      <m:oMathPara>
        <m:oMathParaPr>
          <m:jc m:val="center"/>
        </m:oMathParaPr>
        <m:oMath>
          <m:r>
            <m:t>T</m:t>
          </m:r>
          <m:r>
            <m:rPr>
              <m:sty m:val="p"/>
            </m:rPr>
            <m:t>(</m:t>
          </m:r>
          <m:r>
            <m:t>p</m:t>
          </m:r>
          <m:r>
            <m:rPr>
              <m:sty m:val="p"/>
            </m:rPr>
            <m:t>)</m:t>
          </m:r>
          <m:r>
            <m:rPr>
              <m:sty m:val="p"/>
            </m:rPr>
            <m:t>=</m:t>
          </m:r>
          <m:f>
            <m:fPr>
              <m:type m:val="bar"/>
            </m:fPr>
            <m:num>
              <m:r>
                <m:t>H</m:t>
              </m:r>
              <m:r>
                <m:rPr>
                  <m:sty m:val="p"/>
                </m:rPr>
                <m:t>(</m:t>
              </m:r>
              <m:sSub>
                <m:e>
                  <m:r>
                    <m:t>W</m:t>
                  </m:r>
                </m:e>
                <m:sub>
                  <m:r>
                    <m:t>p</m:t>
                  </m:r>
                </m:sub>
              </m:sSub>
              <m:r>
                <m:rPr>
                  <m:sty m:val="p"/>
                </m:rPr>
                <m:t>)</m:t>
              </m:r>
            </m:num>
            <m:den>
              <m:sSub>
                <m:e>
                  <m:r>
                    <m:rPr>
                      <m:sty m:val="p"/>
                    </m:rPr>
                    <m:t>log</m:t>
                  </m:r>
                </m:e>
                <m:sub>
                  <m:r>
                    <m:t>2</m:t>
                  </m:r>
                </m:sub>
              </m:sSub>
              <m:r>
                <m:t>L</m:t>
              </m:r>
            </m:den>
          </m:f>
          <m:r>
            <m:rPr>
              <m:sty m:val="p"/>
            </m:rPr>
            <m:t>,</m:t>
          </m:r>
          <m:r>
            <m:t>  </m:t>
          </m:r>
          <m:r>
            <m:t>K</m:t>
          </m:r>
          <m:r>
            <m:rPr>
              <m:sty m:val="p"/>
            </m:rPr>
            <m:t>(</m:t>
          </m:r>
          <m:r>
            <m:t>p</m:t>
          </m:r>
          <m:r>
            <m:rPr>
              <m:sty m:val="p"/>
            </m:rPr>
            <m:t>)</m:t>
          </m:r>
          <m:r>
            <m:rPr>
              <m:sty m:val="p"/>
            </m:rPr>
            <m:t>=</m:t>
          </m:r>
          <m:f>
            <m:fPr>
              <m:type m:val="bar"/>
            </m:fPr>
            <m:num>
              <m:limLow>
                <m:e>
                  <m:r>
                    <m:rPr>
                      <m:sty m:val="p"/>
                    </m:rPr>
                    <m:t>max</m:t>
                  </m:r>
                </m:e>
                <m:lim>
                  <m:sSub>
                    <m:e>
                      <m:r>
                        <m:t>W</m:t>
                      </m:r>
                    </m:e>
                    <m:sub>
                      <m:r>
                        <m:t>p</m:t>
                      </m:r>
                    </m:sub>
                  </m:sSub>
                </m:lim>
              </m:limLow>
              <m:acc>
                <m:accPr>
                  <m:chr m:val="̃"/>
                </m:accPr>
                <m:e>
                  <m:r>
                    <m:t>x</m:t>
                  </m:r>
                </m:e>
              </m:acc>
              <m:r>
                <m:rPr>
                  <m:sty m:val="p"/>
                </m:rPr>
                <m:t>−</m:t>
              </m:r>
              <m:limLow>
                <m:e>
                  <m:r>
                    <m:rPr>
                      <m:sty m:val="p"/>
                    </m:rPr>
                    <m:t>min</m:t>
                  </m:r>
                </m:e>
                <m:lim>
                  <m:sSub>
                    <m:e>
                      <m:r>
                        <m:t>W</m:t>
                      </m:r>
                    </m:e>
                    <m:sub>
                      <m:r>
                        <m:t>p</m:t>
                      </m:r>
                    </m:sub>
                  </m:sSub>
                </m:lim>
              </m:limLow>
              <m:acc>
                <m:accPr>
                  <m:chr m:val="̃"/>
                </m:accPr>
                <m:e>
                  <m:r>
                    <m:t>x</m:t>
                  </m:r>
                </m:e>
              </m:acc>
            </m:num>
            <m:den>
              <m:limLow>
                <m:e>
                  <m:r>
                    <m:rPr>
                      <m:sty m:val="p"/>
                    </m:rPr>
                    <m:t>max</m:t>
                  </m:r>
                </m:e>
                <m:lim>
                  <m:sSub>
                    <m:e>
                      <m:r>
                        <m:t>W</m:t>
                      </m:r>
                    </m:e>
                    <m:sub>
                      <m:r>
                        <m:t>p</m:t>
                      </m:r>
                    </m:sub>
                  </m:sSub>
                </m:lim>
              </m:limLow>
              <m:acc>
                <m:accPr>
                  <m:chr m:val="̃"/>
                </m:accPr>
                <m:e>
                  <m:r>
                    <m:t>x</m:t>
                  </m:r>
                </m:e>
              </m:acc>
              <m:r>
                <m:rPr>
                  <m:sty m:val="p"/>
                </m:rPr>
                <m:t>+</m:t>
              </m:r>
              <m:limLow>
                <m:e>
                  <m:r>
                    <m:rPr>
                      <m:sty m:val="p"/>
                    </m:rPr>
                    <m:t>min</m:t>
                  </m:r>
                </m:e>
                <m:lim>
                  <m:sSub>
                    <m:e>
                      <m:r>
                        <m:t>W</m:t>
                      </m:r>
                    </m:e>
                    <m:sub>
                      <m:r>
                        <m:t>p</m:t>
                      </m:r>
                    </m:sub>
                  </m:sSub>
                </m:lim>
              </m:limLow>
              <m:acc>
                <m:accPr>
                  <m:chr m:val="̃"/>
                </m:accPr>
                <m:e>
                  <m:r>
                    <m:t>x</m:t>
                  </m:r>
                </m:e>
              </m:acc>
              <m:r>
                <m:rPr>
                  <m:sty m:val="p"/>
                </m:rPr>
                <m:t>+</m:t>
              </m:r>
              <m:r>
                <m:t>ϵ</m:t>
              </m:r>
            </m:den>
          </m:f>
          <m:r>
            <m:rPr>
              <m:sty m:val="p"/>
            </m:rPr>
            <m:t>,</m:t>
          </m:r>
          <m:r>
            <m:t>  </m:t>
          </m:r>
          <m:r>
            <m:t>q</m:t>
          </m:r>
          <m:r>
            <m:rPr>
              <m:sty m:val="p"/>
            </m:rPr>
            <m:t>=</m:t>
          </m:r>
          <m:f>
            <m:fPr>
              <m:type m:val="bar"/>
            </m:fPr>
            <m:num>
              <m:r>
                <m:rPr>
                  <m:sty m:val="p"/>
                </m:rPr>
                <m:t>S</m:t>
              </m:r>
              <m:r>
                <m:rPr>
                  <m:sty m:val="p"/>
                </m:rPr>
                <m:t>N</m:t>
              </m:r>
              <m:r>
                <m:rPr>
                  <m:sty m:val="p"/>
                </m:rPr>
                <m:t>R</m:t>
              </m:r>
            </m:num>
            <m:den>
              <m:r>
                <m:rPr>
                  <m:sty m:val="p"/>
                </m:rPr>
                <m:t>S</m:t>
              </m:r>
              <m:r>
                <m:rPr>
                  <m:sty m:val="p"/>
                </m:rPr>
                <m:t>N</m:t>
              </m:r>
              <m:r>
                <m:rPr>
                  <m:sty m:val="p"/>
                </m:rPr>
                <m:t>R</m:t>
              </m:r>
              <m:r>
                <m:rPr>
                  <m:sty m:val="p"/>
                </m:rPr>
                <m:t>+</m:t>
              </m:r>
              <m:sSub>
                <m:e>
                  <m:r>
                    <m:rPr>
                      <m:sty m:val="p"/>
                    </m:rPr>
                    <m:t>S</m:t>
                  </m:r>
                  <m:r>
                    <m:rPr>
                      <m:sty m:val="p"/>
                    </m:rPr>
                    <m:t>N</m:t>
                  </m:r>
                  <m:r>
                    <m:rPr>
                      <m:sty m:val="p"/>
                    </m:rPr>
                    <m:t>R</m:t>
                  </m:r>
                </m:e>
                <m:sub>
                  <m:r>
                    <m:t>0</m:t>
                  </m:r>
                </m:sub>
              </m:sSub>
            </m:den>
          </m:f>
          <m:r>
            <m:rPr>
              <m:sty m:val="p"/>
            </m:rPr>
            <m:t>,</m:t>
          </m:r>
          <m:r>
            <m:t> </m:t>
          </m:r>
          <m:r>
            <m:rPr>
              <m:sty m:val="p"/>
            </m:rPr>
            <m:t>S</m:t>
          </m:r>
          <m:r>
            <m:rPr>
              <m:sty m:val="p"/>
            </m:rPr>
            <m:t>N</m:t>
          </m:r>
          <m:r>
            <m:rPr>
              <m:sty m:val="p"/>
            </m:rPr>
            <m:t>R</m:t>
          </m:r>
          <m:r>
            <m:rPr>
              <m:sty m:val="p"/>
            </m:rPr>
            <m:t>=</m:t>
          </m:r>
          <m:f>
            <m:fPr>
              <m:type m:val="bar"/>
            </m:fPr>
            <m:num>
              <m:bar>
                <m:barPr>
                  <m:pos m:val="top"/>
                </m:barPr>
                <m:e>
                  <m:acc>
                    <m:accPr>
                      <m:chr m:val="̃"/>
                    </m:accPr>
                    <m:e>
                      <m:r>
                        <m:t>x</m:t>
                      </m:r>
                    </m:e>
                  </m:acc>
                </m:e>
              </m:bar>
            </m:num>
            <m:den>
              <m:sSub>
                <m:e>
                  <m:r>
                    <m:t>σ</m:t>
                  </m:r>
                </m:e>
                <m:sub>
                  <m:r>
                    <m:rPr>
                      <m:nor/>
                    </m:rPr>
                    <m:t>noise</m:t>
                  </m:r>
                </m:sub>
              </m:sSub>
            </m:den>
          </m:f>
          <m:r>
            <m:t> </m:t>
          </m:r>
          <m:r>
            <m:t> </m:t>
          </m:r>
          <m:r>
            <m:rPr>
              <m:nor/>
            </m:rPr>
            <m:t>(3)</m:t>
          </m:r>
        </m:oMath>
      </m:oMathPara>
    </w:p>
    <w:p>
      <w:pPr>
        <w:pStyle w:val="FirstParagraph"/>
      </w:pPr>
      <w:r>
        <w:t xml:space="preserve">The adaptive membership is</w:t>
      </w:r>
    </w:p>
    <w:p>
      <w:pPr>
        <w:pStyle w:val="BodyText"/>
      </w:pPr>
      <m:oMathPara>
        <m:oMathParaPr>
          <m:jc m:val="center"/>
        </m:oMathParaPr>
        <m:oMath>
          <m:r>
            <m:t>μ</m:t>
          </m:r>
          <m:r>
            <m:rPr>
              <m:sty m:val="p"/>
            </m:rPr>
            <m:t>(</m:t>
          </m:r>
          <m:r>
            <m:t>p</m:t>
          </m:r>
          <m:r>
            <m:rPr>
              <m:sty m:val="p"/>
            </m:rPr>
            <m:t>)</m:t>
          </m:r>
          <m:r>
            <m:rPr>
              <m:sty m:val="p"/>
            </m:rPr>
            <m:t>=</m:t>
          </m:r>
          <m:r>
            <m:t>q</m:t>
          </m:r>
          <m:r>
            <m:rPr>
              <m:sty m:val="p"/>
            </m:rPr>
            <m:t>⋅</m:t>
          </m:r>
          <m:r>
            <m:rPr>
              <m:sty m:val="p"/>
            </m:rPr>
            <m:t>exp</m:t>
          </m:r>
          <m:r>
            <m:t>​</m:t>
          </m:r>
          <m:d>
            <m:dPr>
              <m:begChr m:val="("/>
              <m:sepChr m:val=""/>
              <m:endChr m:val=")"/>
              <m:grow/>
            </m:dPr>
            <m:e>
              <m:r>
                <m:rPr>
                  <m:sty m:val="p"/>
                </m:rPr>
                <m:t>−</m:t>
              </m:r>
              <m:f>
                <m:fPr>
                  <m:type m:val="bar"/>
                </m:fPr>
                <m:num>
                  <m:r>
                    <m:rPr>
                      <m:sty m:val="p"/>
                    </m:rPr>
                    <m:t>(</m:t>
                  </m:r>
                  <m:acc>
                    <m:accPr>
                      <m:chr m:val="̃"/>
                    </m:accPr>
                    <m:e>
                      <m:r>
                        <m:t>x</m:t>
                      </m:r>
                    </m:e>
                  </m:acc>
                  <m:r>
                    <m:rPr>
                      <m:sty m:val="p"/>
                    </m:rPr>
                    <m:t>(</m:t>
                  </m:r>
                  <m:r>
                    <m:t>p</m:t>
                  </m:r>
                  <m:r>
                    <m:rPr>
                      <m:sty m:val="p"/>
                    </m:rPr>
                    <m:t>)</m:t>
                  </m:r>
                  <m:r>
                    <m:rPr>
                      <m:sty m:val="p"/>
                    </m:rPr>
                    <m:t>−</m:t>
                  </m:r>
                  <m:r>
                    <m:t>c</m:t>
                  </m:r>
                  <m:r>
                    <m:rPr>
                      <m:sty m:val="p"/>
                    </m:rPr>
                    <m:t>(</m:t>
                  </m:r>
                  <m:r>
                    <m:t>p</m:t>
                  </m:r>
                  <m:r>
                    <m:rPr>
                      <m:sty m:val="p"/>
                    </m:rPr>
                    <m:t>)</m:t>
                  </m:r>
                  <m:sSup>
                    <m:e>
                      <m:r>
                        <m:rPr>
                          <m:sty m:val="p"/>
                        </m:rPr>
                        <m:t>)</m:t>
                      </m:r>
                    </m:e>
                    <m:sup>
                      <m:r>
                        <m:t>2</m:t>
                      </m:r>
                    </m:sup>
                  </m:sSup>
                </m:num>
                <m:den>
                  <m:r>
                    <m:t>2</m:t>
                  </m:r>
                  <m:r>
                    <m:t>σ</m:t>
                  </m:r>
                  <m:r>
                    <m:rPr>
                      <m:sty m:val="p"/>
                    </m:rPr>
                    <m:t>(</m:t>
                  </m:r>
                  <m:r>
                    <m:t>p</m:t>
                  </m:r>
                  <m:sSup>
                    <m:e>
                      <m:r>
                        <m:rPr>
                          <m:sty m:val="p"/>
                        </m:rPr>
                        <m:t>)</m:t>
                      </m:r>
                    </m:e>
                    <m:sup>
                      <m:r>
                        <m:t>2</m:t>
                      </m:r>
                    </m:sup>
                  </m:sSup>
                  <m:r>
                    <m:rPr>
                      <m:sty m:val="p"/>
                    </m:rPr>
                    <m:t>+</m:t>
                  </m:r>
                  <m:r>
                    <m:t>ϵ</m:t>
                  </m:r>
                </m:den>
              </m:f>
            </m:e>
          </m:d>
          <m:r>
            <m:rPr>
              <m:sty m:val="p"/>
            </m:rPr>
            <m:t>⋅</m:t>
          </m:r>
          <m:f>
            <m:fPr>
              <m:type m:val="bar"/>
            </m:fPr>
            <m:num>
              <m:d>
                <m:dPr>
                  <m:begChr m:val="("/>
                  <m:sepChr m:val=""/>
                  <m:endChr m:val=")"/>
                  <m:grow/>
                </m:dPr>
                <m:e>
                  <m:r>
                    <m:t>1</m:t>
                  </m:r>
                  <m:r>
                    <m:rPr>
                      <m:sty m:val="p"/>
                    </m:rPr>
                    <m:t>+</m:t>
                  </m:r>
                  <m:r>
                    <m:t>α</m:t>
                  </m:r>
                  <m:r>
                    <m:t>T</m:t>
                  </m:r>
                  <m:r>
                    <m:rPr>
                      <m:sty m:val="p"/>
                    </m:rPr>
                    <m:t>(</m:t>
                  </m:r>
                  <m:r>
                    <m:t>p</m:t>
                  </m:r>
                  <m:r>
                    <m:rPr>
                      <m:sty m:val="p"/>
                    </m:rPr>
                    <m:t>)</m:t>
                  </m:r>
                </m:e>
              </m:d>
              <m:d>
                <m:dPr>
                  <m:begChr m:val="("/>
                  <m:sepChr m:val=""/>
                  <m:endChr m:val=")"/>
                  <m:grow/>
                </m:dPr>
                <m:e>
                  <m:r>
                    <m:t>1</m:t>
                  </m:r>
                  <m:r>
                    <m:rPr>
                      <m:sty m:val="p"/>
                    </m:rPr>
                    <m:t>+</m:t>
                  </m:r>
                  <m:r>
                    <m:t>β</m:t>
                  </m:r>
                  <m:r>
                    <m:t>K</m:t>
                  </m:r>
                  <m:r>
                    <m:rPr>
                      <m:sty m:val="p"/>
                    </m:rPr>
                    <m:t>(</m:t>
                  </m:r>
                  <m:r>
                    <m:t>p</m:t>
                  </m:r>
                  <m:r>
                    <m:rPr>
                      <m:sty m:val="p"/>
                    </m:rPr>
                    <m:t>)</m:t>
                  </m:r>
                </m:e>
              </m:d>
            </m:num>
            <m:den>
              <m:r>
                <m:rPr>
                  <m:sty m:val="p"/>
                </m:rPr>
                <m:t>(</m:t>
              </m:r>
              <m:r>
                <m:t>1</m:t>
              </m:r>
              <m:r>
                <m:rPr>
                  <m:sty m:val="p"/>
                </m:rPr>
                <m:t>+</m:t>
              </m:r>
              <m:r>
                <m:t>α</m:t>
              </m:r>
              <m:r>
                <m:rPr>
                  <m:sty m:val="p"/>
                </m:rPr>
                <m:t>)</m:t>
              </m:r>
              <m:r>
                <m:rPr>
                  <m:sty m:val="p"/>
                </m:rPr>
                <m:t>(</m:t>
              </m:r>
              <m:r>
                <m:t>1</m:t>
              </m:r>
              <m:r>
                <m:rPr>
                  <m:sty m:val="p"/>
                </m:rPr>
                <m:t>+</m:t>
              </m:r>
              <m:r>
                <m:t>β</m:t>
              </m:r>
              <m:r>
                <m:rPr>
                  <m:sty m:val="p"/>
                </m:rPr>
                <m:t>)</m:t>
              </m:r>
            </m:den>
          </m:f>
          <m:r>
            <m:t> </m:t>
          </m:r>
          <m:r>
            <m:t> </m:t>
          </m:r>
          <m:r>
            <m:rPr>
              <m:nor/>
            </m:rPr>
            <m:t>(4)</m:t>
          </m:r>
        </m:oMath>
      </m:oMathPara>
    </w:p>
    <w:p>
      <w:pPr>
        <w:pStyle w:val="FirstParagraph"/>
      </w:pPr>
      <w:r>
        <w:t xml:space="preserve">with ε = 10⁻⁶ and α, β ≥ 0 selected on the validation partition over the grid {0, 0.25, 0.5, 1, 2}. Every factor lies in [0, 1], so μ(p) ≤ q ≤ 1 for all p. With α = β = 0 and q = 1, Eq. (4) reduces to the local Gaussian membership, so the proposed function strictly generalizes it.</w:t>
      </w:r>
    </w:p>
    <w:p>
      <w:pPr>
        <w:pStyle w:val="Heading1"/>
      </w:pPr>
      <w:bookmarkStart w:id="20" w:name="_ebbf6601a4eeb9705b9de103fd9cf8e5acc18d3"/>
      <w:r>
        <w:t xml:space="preserve">3.5 Adaptive fuzzy morphological operations (AFMO)</w:t>
      </w:r>
      <w:bookmarkEnd w:id="20"/>
    </w:p>
    <w:p>
      <w:pPr>
        <w:pStyle w:val="FirstParagraph"/>
      </w:pPr>
      <w:r>
        <w:t xml:space="preserve">The structuring element</w:t>
      </w:r>
      <w:r>
        <w:t xml:space="preserve"> </w:t>
      </w:r>
      <m:oMath>
        <m:sSub>
          <m:e>
            <m:r>
              <m:t>B</m:t>
            </m:r>
          </m:e>
          <m:sub>
            <m:r>
              <m:t>r</m:t>
            </m:r>
          </m:sub>
        </m:sSub>
      </m:oMath>
      <w:r>
        <w:t xml:space="preserve">(p) is a disc whose radius r(p) grows with local heterogeneity, so that complex nodule borders are processed with a larger neighborhood than homogeneous parenchyma:</w:t>
      </w:r>
    </w:p>
    <w:p>
      <w:pPr>
        <w:pStyle w:val="BodyText"/>
      </w:pPr>
      <m:oMathPara>
        <m:oMathParaPr>
          <m:jc m:val="center"/>
        </m:oMathParaPr>
        <m:oMath>
          <m:r>
            <m:t>r</m:t>
          </m:r>
          <m:r>
            <m:rPr>
              <m:sty m:val="p"/>
            </m:rPr>
            <m:t>(</m:t>
          </m:r>
          <m:r>
            <m:t>p</m:t>
          </m:r>
          <m:r>
            <m:rPr>
              <m:sty m:val="p"/>
            </m:rPr>
            <m:t>)</m:t>
          </m:r>
          <m:r>
            <m:rPr>
              <m:sty m:val="p"/>
            </m:rPr>
            <m:t>=</m:t>
          </m:r>
          <m:r>
            <m:rPr>
              <m:sty m:val="p"/>
            </m:rPr>
            <m:t>clip</m:t>
          </m:r>
          <m:r>
            <m:t>​</m:t>
          </m:r>
          <m:d>
            <m:dPr>
              <m:begChr m:val="("/>
              <m:sepChr m:val=""/>
              <m:endChr m:val=")"/>
              <m:grow/>
            </m:dPr>
            <m:e>
              <m:r>
                <m:rPr>
                  <m:sty m:val="p"/>
                </m:rPr>
                <m:t>round</m:t>
              </m:r>
              <m:r>
                <m:t>​</m:t>
              </m:r>
              <m:d>
                <m:dPr>
                  <m:begChr m:val="["/>
                  <m:sepChr m:val=""/>
                  <m:endChr m:val="]"/>
                  <m:grow/>
                </m:dPr>
                <m:e>
                  <m:sSub>
                    <m:e>
                      <m:r>
                        <m:t>r</m:t>
                      </m:r>
                    </m:e>
                    <m:sub>
                      <m:r>
                        <m:t>0</m:t>
                      </m:r>
                    </m:sub>
                  </m:sSub>
                  <m:d>
                    <m:dPr>
                      <m:begChr m:val="("/>
                      <m:sepChr m:val=""/>
                      <m:endChr m:val=")"/>
                      <m:grow/>
                    </m:dPr>
                    <m:e>
                      <m:r>
                        <m:t>1</m:t>
                      </m:r>
                      <m:r>
                        <m:rPr>
                          <m:sty m:val="p"/>
                        </m:rPr>
                        <m:t>+</m:t>
                      </m:r>
                      <m:r>
                        <m:t>γ</m:t>
                      </m:r>
                      <m:r>
                        <m:t> </m:t>
                      </m:r>
                      <m:r>
                        <m:t>σ</m:t>
                      </m:r>
                      <m:r>
                        <m:rPr>
                          <m:sty m:val="p"/>
                        </m:rPr>
                        <m:t>(</m:t>
                      </m:r>
                      <m:r>
                        <m:t>p</m:t>
                      </m:r>
                      <m:r>
                        <m:rPr>
                          <m:sty m:val="p"/>
                        </m:rPr>
                        <m:t>)</m:t>
                      </m:r>
                      <m:r>
                        <m:rPr>
                          <m:sty m:val="p"/>
                        </m:rPr>
                        <m:t>/</m:t>
                      </m:r>
                      <m:sSub>
                        <m:e>
                          <m:r>
                            <m:t>σ</m:t>
                          </m:r>
                        </m:e>
                        <m:sub>
                          <m:r>
                            <m:t>g</m:t>
                          </m:r>
                        </m:sub>
                      </m:sSub>
                    </m:e>
                  </m:d>
                </m:e>
              </m:d>
              <m:r>
                <m:rPr>
                  <m:sty m:val="p"/>
                </m:rPr>
                <m:t>,</m:t>
              </m:r>
              <m:r>
                <m:t> </m:t>
              </m:r>
              <m:sSub>
                <m:e>
                  <m:r>
                    <m:t>r</m:t>
                  </m:r>
                </m:e>
                <m:sub>
                  <m:r>
                    <m:rPr>
                      <m:sty m:val="p"/>
                    </m:rPr>
                    <m:t>min</m:t>
                  </m:r>
                </m:sub>
              </m:sSub>
              <m:r>
                <m:rPr>
                  <m:sty m:val="p"/>
                </m:rPr>
                <m:t>,</m:t>
              </m:r>
              <m:r>
                <m:t> </m:t>
              </m:r>
              <m:sSub>
                <m:e>
                  <m:r>
                    <m:t>r</m:t>
                  </m:r>
                </m:e>
                <m:sub>
                  <m:r>
                    <m:rPr>
                      <m:sty m:val="p"/>
                    </m:rPr>
                    <m:t>max</m:t>
                  </m:r>
                </m:sub>
              </m:sSub>
            </m:e>
          </m:d>
          <m:r>
            <m:t> </m:t>
          </m:r>
          <m:r>
            <m:t> </m:t>
          </m:r>
          <m:r>
            <m:rPr>
              <m:nor/>
            </m:rPr>
            <m:t>(5)</m:t>
          </m:r>
        </m:oMath>
      </m:oMathPara>
    </w:p>
    <w:p>
      <w:pPr>
        <w:pStyle w:val="FirstParagraph"/>
      </w:pPr>
      <w:r>
        <w:t xml:space="preserve">with</w:t>
      </w:r>
      <w:r>
        <w:t xml:space="preserve"> </w:t>
      </w:r>
      <m:oMath>
        <m:sSub>
          <m:e>
            <m:r>
              <m:t>r</m:t>
            </m:r>
          </m:e>
          <m:sub>
            <m:r>
              <m:t>0</m:t>
            </m:r>
          </m:sub>
        </m:sSub>
      </m:oMath>
      <w:r>
        <w:t xml:space="preserve"> </w:t>
      </w:r>
      <w:r>
        <w:t xml:space="preserve">= 2,</w:t>
      </w:r>
      <w:r>
        <w:t xml:space="preserve"> </w:t>
      </w:r>
      <m:oMath>
        <m:sSub>
          <m:e>
            <m:r>
              <m:t>r</m:t>
            </m:r>
          </m:e>
          <m:sub>
            <m:r>
              <m:t>m</m:t>
            </m:r>
            <m:r>
              <m:t>i</m:t>
            </m:r>
            <m:r>
              <m:t>n</m:t>
            </m:r>
          </m:sub>
        </m:sSub>
      </m:oMath>
      <w:r>
        <w:t xml:space="preserve"> </w:t>
      </w:r>
      <w:r>
        <w:t xml:space="preserve">= 1,</w:t>
      </w:r>
      <w:r>
        <w:t xml:space="preserve"> </w:t>
      </w:r>
      <m:oMath>
        <m:sSub>
          <m:e>
            <m:r>
              <m:t>r</m:t>
            </m:r>
          </m:e>
          <m:sub>
            <m:r>
              <m:t>m</m:t>
            </m:r>
            <m:r>
              <m:t>a</m:t>
            </m:r>
            <m:r>
              <m:t>x</m:t>
            </m:r>
          </m:sub>
        </m:sSub>
      </m:oMath>
      <w:r>
        <w:t xml:space="preserve"> </w:t>
      </w:r>
      <w:r>
        <w:t xml:space="preserve">= 5 pixels and γ selected on the validation partition over {0.5, 1, 2}. A reliability weight limits the operator where the local variance is high:</w:t>
      </w:r>
    </w:p>
    <w:p>
      <w:pPr>
        <w:pStyle w:val="BodyText"/>
      </w:pPr>
      <m:oMathPara>
        <m:oMathParaPr>
          <m:jc m:val="center"/>
        </m:oMathParaPr>
        <m:oMath>
          <m:r>
            <m:t>w</m:t>
          </m:r>
          <m:r>
            <m:rPr>
              <m:sty m:val="p"/>
            </m:rPr>
            <m:t>(</m:t>
          </m:r>
          <m:r>
            <m:t>p</m:t>
          </m:r>
          <m:r>
            <m:rPr>
              <m:sty m:val="p"/>
            </m:rPr>
            <m:t>)</m:t>
          </m:r>
          <m:r>
            <m:rPr>
              <m:sty m:val="p"/>
            </m:rPr>
            <m:t>=</m:t>
          </m:r>
          <m:r>
            <m:t>1</m:t>
          </m:r>
          <m:r>
            <m:rPr>
              <m:sty m:val="p"/>
            </m:rPr>
            <m:t>−</m:t>
          </m:r>
          <m:f>
            <m:fPr>
              <m:type m:val="bar"/>
            </m:fPr>
            <m:num>
              <m:r>
                <m:t>σ</m:t>
              </m:r>
              <m:r>
                <m:rPr>
                  <m:sty m:val="p"/>
                </m:rPr>
                <m:t>(</m:t>
              </m:r>
              <m:r>
                <m:t>p</m:t>
              </m:r>
              <m:r>
                <m:rPr>
                  <m:sty m:val="p"/>
                </m:rPr>
                <m:t>)</m:t>
              </m:r>
            </m:num>
            <m:den>
              <m:limLow>
                <m:e>
                  <m:r>
                    <m:rPr>
                      <m:sty m:val="p"/>
                    </m:rPr>
                    <m:t>max</m:t>
                  </m:r>
                </m:e>
                <m:lim>
                  <m:r>
                    <m:t>q</m:t>
                  </m:r>
                </m:lim>
              </m:limLow>
              <m:r>
                <m:t>σ</m:t>
              </m:r>
              <m:r>
                <m:rPr>
                  <m:sty m:val="p"/>
                </m:rPr>
                <m:t>(</m:t>
              </m:r>
              <m:r>
                <m:t>q</m:t>
              </m:r>
              <m:r>
                <m:rPr>
                  <m:sty m:val="p"/>
                </m:rPr>
                <m:t>)</m:t>
              </m:r>
            </m:den>
          </m:f>
          <m:r>
            <m:rPr>
              <m:sty m:val="p"/>
            </m:rPr>
            <m:t>∈</m:t>
          </m:r>
          <m:r>
            <m:rPr>
              <m:sty m:val="p"/>
            </m:rPr>
            <m:t>[</m:t>
          </m:r>
          <m:r>
            <m:t>0</m:t>
          </m:r>
          <m:r>
            <m:rPr>
              <m:sty m:val="p"/>
            </m:rPr>
            <m:t>,</m:t>
          </m:r>
          <m:r>
            <m:t>1</m:t>
          </m:r>
          <m:r>
            <m:rPr>
              <m:sty m:val="p"/>
            </m:rPr>
            <m:t>]</m:t>
          </m:r>
          <m:r>
            <m:t> </m:t>
          </m:r>
          <m:r>
            <m:t> </m:t>
          </m:r>
          <m:r>
            <m:rPr>
              <m:nor/>
            </m:rPr>
            <m:t>(6)</m:t>
          </m:r>
        </m:oMath>
      </m:oMathPara>
    </w:p>
    <w:p>
      <w:pPr>
        <w:pStyle w:val="FirstParagraph"/>
      </w:pPr>
      <w:r>
        <w:t xml:space="preserve">The reliability-weighted fuzzy erosion</w:t>
      </w:r>
      <w:r>
        <w:t xml:space="preserve"> </w:t>
      </w:r>
      <m:oMath>
        <m:sSub>
          <m:e>
            <m:r>
              <m:t>ε</m:t>
            </m:r>
          </m:e>
          <m:sub>
            <m:r>
              <m:t>w</m:t>
            </m:r>
          </m:sub>
        </m:sSub>
      </m:oMath>
      <w:r>
        <w:t xml:space="preserve"> </w:t>
      </w:r>
      <w:r>
        <w:t xml:space="preserve">and dilation</w:t>
      </w:r>
      <w:r>
        <w:t xml:space="preserve"> </w:t>
      </w:r>
      <m:oMath>
        <m:sSub>
          <m:e>
            <m:r>
              <m:t>δ</m:t>
            </m:r>
          </m:e>
          <m:sub>
            <m:r>
              <m:t>w</m:t>
            </m:r>
          </m:sub>
        </m:sSub>
      </m:oMath>
      <w:r>
        <w:t xml:space="preserve"> </w:t>
      </w:r>
      <w:r>
        <w:t xml:space="preserve">of a map f in</w:t>
      </w:r>
      <w:r>
        <w:t xml:space="preserve"> </w:t>
      </w:r>
      <m:oMath>
        <m:r>
          <m:rPr>
            <m:sty m:val="p"/>
          </m:rPr>
          <m:t>[</m:t>
        </m:r>
        <m:r>
          <m:t>0</m:t>
        </m:r>
        <m:r>
          <m:rPr>
            <m:sty m:val="p"/>
          </m:rPr>
          <m:t>,</m:t>
        </m:r>
        <m:r>
          <m:t>1</m:t>
        </m:r>
        <m:sSup>
          <m:e>
            <m:r>
              <m:rPr>
                <m:sty m:val="p"/>
              </m:rPr>
              <m:t>]</m:t>
            </m:r>
          </m:e>
          <m:sup>
            <m:r>
              <m:t>H</m:t>
            </m:r>
            <m:r>
              <m:rPr>
                <m:sty m:val="p"/>
              </m:rPr>
              <m:t>×</m:t>
            </m:r>
            <m:r>
              <m:t>W</m:t>
            </m:r>
          </m:sup>
        </m:sSup>
      </m:oMath>
      <w:r>
        <w:t xml:space="preserve"> </w:t>
      </w:r>
      <w:r>
        <w:t xml:space="preserve">are convex combinations of the classical flat gray-scale operator and the identity:</w:t>
      </w:r>
    </w:p>
    <w:p>
      <w:pPr>
        <w:pStyle w:val="BodyText"/>
      </w:pPr>
      <m:oMathPara>
        <m:oMathParaPr>
          <m:jc m:val="center"/>
        </m:oMathParaPr>
        <m:oMath>
          <m:sSub>
            <m:e>
              <m:r>
                <m:t>ε</m:t>
              </m:r>
            </m:e>
            <m:sub>
              <m:r>
                <m:t>w</m:t>
              </m:r>
            </m:sub>
          </m:sSub>
          <m:r>
            <m:rPr>
              <m:sty m:val="p"/>
            </m:rPr>
            <m:t>(</m:t>
          </m:r>
          <m:r>
            <m:t>f</m:t>
          </m:r>
          <m:r>
            <m:rPr>
              <m:sty m:val="p"/>
            </m:rPr>
            <m:t>)</m:t>
          </m:r>
          <m:r>
            <m:rPr>
              <m:sty m:val="p"/>
            </m:rPr>
            <m:t>(</m:t>
          </m:r>
          <m:r>
            <m:t>p</m:t>
          </m:r>
          <m:r>
            <m:rPr>
              <m:sty m:val="p"/>
            </m:rPr>
            <m:t>)</m:t>
          </m:r>
          <m:r>
            <m:rPr>
              <m:sty m:val="p"/>
            </m:rPr>
            <m:t>=</m:t>
          </m:r>
          <m:r>
            <m:t>w</m:t>
          </m:r>
          <m:r>
            <m:rPr>
              <m:sty m:val="p"/>
            </m:rPr>
            <m:t>(</m:t>
          </m:r>
          <m:r>
            <m:t>p</m:t>
          </m:r>
          <m:r>
            <m:rPr>
              <m:sty m:val="p"/>
            </m:rPr>
            <m:t>)</m:t>
          </m:r>
          <m:limLow>
            <m:e>
              <m:r>
                <m:rPr>
                  <m:sty m:val="p"/>
                </m:rPr>
                <m:t>min</m:t>
              </m:r>
            </m:e>
            <m:lim>
              <m:r>
                <m:t>q</m:t>
              </m:r>
              <m:r>
                <m:rPr>
                  <m:sty m:val="p"/>
                </m:rPr>
                <m:t>∈</m:t>
              </m:r>
              <m:sSub>
                <m:e>
                  <m:r>
                    <m:t>B</m:t>
                  </m:r>
                </m:e>
                <m:sub>
                  <m:r>
                    <m:t>r</m:t>
                  </m:r>
                  <m:r>
                    <m:rPr>
                      <m:sty m:val="p"/>
                    </m:rPr>
                    <m:t>(</m:t>
                  </m:r>
                  <m:r>
                    <m:t>p</m:t>
                  </m:r>
                  <m:r>
                    <m:rPr>
                      <m:sty m:val="p"/>
                    </m:rPr>
                    <m:t>)</m:t>
                  </m:r>
                </m:sub>
              </m:sSub>
              <m:r>
                <m:rPr>
                  <m:sty m:val="p"/>
                </m:rPr>
                <m:t>(</m:t>
              </m:r>
              <m:r>
                <m:t>p</m:t>
              </m:r>
              <m:r>
                <m:rPr>
                  <m:sty m:val="p"/>
                </m:rPr>
                <m:t>)</m:t>
              </m:r>
            </m:lim>
          </m:limLow>
          <m:r>
            <m:t>f</m:t>
          </m:r>
          <m:r>
            <m:rPr>
              <m:sty m:val="p"/>
            </m:rPr>
            <m:t>(</m:t>
          </m:r>
          <m:r>
            <m:t>q</m:t>
          </m:r>
          <m:r>
            <m:rPr>
              <m:sty m:val="p"/>
            </m:rPr>
            <m:t>)</m:t>
          </m:r>
          <m:r>
            <m:rPr>
              <m:sty m:val="p"/>
            </m:rPr>
            <m:t>+</m:t>
          </m:r>
          <m:d>
            <m:dPr>
              <m:begChr m:val="("/>
              <m:sepChr m:val=""/>
              <m:endChr m:val=")"/>
              <m:grow/>
            </m:dPr>
            <m:e>
              <m:r>
                <m:t>1</m:t>
              </m:r>
              <m:r>
                <m:rPr>
                  <m:sty m:val="p"/>
                </m:rPr>
                <m:t>−</m:t>
              </m:r>
              <m:r>
                <m:t>w</m:t>
              </m:r>
              <m:r>
                <m:rPr>
                  <m:sty m:val="p"/>
                </m:rPr>
                <m:t>(</m:t>
              </m:r>
              <m:r>
                <m:t>p</m:t>
              </m:r>
              <m:r>
                <m:rPr>
                  <m:sty m:val="p"/>
                </m:rPr>
                <m:t>)</m:t>
              </m:r>
            </m:e>
          </m:d>
          <m:r>
            <m:t>f</m:t>
          </m:r>
          <m:r>
            <m:rPr>
              <m:sty m:val="p"/>
            </m:rPr>
            <m:t>(</m:t>
          </m:r>
          <m:r>
            <m:t>p</m:t>
          </m:r>
          <m:r>
            <m:rPr>
              <m:sty m:val="p"/>
            </m:rPr>
            <m:t>)</m:t>
          </m:r>
          <m:r>
            <m:rPr>
              <m:sty m:val="p"/>
            </m:rPr>
            <m:t>,</m:t>
          </m:r>
          <m:r>
            <m:t>  </m:t>
          </m:r>
          <m:sSub>
            <m:e>
              <m:r>
                <m:t>δ</m:t>
              </m:r>
            </m:e>
            <m:sub>
              <m:r>
                <m:t>w</m:t>
              </m:r>
            </m:sub>
          </m:sSub>
          <m:r>
            <m:rPr>
              <m:sty m:val="p"/>
            </m:rPr>
            <m:t>(</m:t>
          </m:r>
          <m:r>
            <m:t>f</m:t>
          </m:r>
          <m:r>
            <m:rPr>
              <m:sty m:val="p"/>
            </m:rPr>
            <m:t>)</m:t>
          </m:r>
          <m:r>
            <m:rPr>
              <m:sty m:val="p"/>
            </m:rPr>
            <m:t>(</m:t>
          </m:r>
          <m:r>
            <m:t>p</m:t>
          </m:r>
          <m:r>
            <m:rPr>
              <m:sty m:val="p"/>
            </m:rPr>
            <m:t>)</m:t>
          </m:r>
          <m:r>
            <m:rPr>
              <m:sty m:val="p"/>
            </m:rPr>
            <m:t>=</m:t>
          </m:r>
          <m:r>
            <m:t>w</m:t>
          </m:r>
          <m:r>
            <m:rPr>
              <m:sty m:val="p"/>
            </m:rPr>
            <m:t>(</m:t>
          </m:r>
          <m:r>
            <m:t>p</m:t>
          </m:r>
          <m:r>
            <m:rPr>
              <m:sty m:val="p"/>
            </m:rPr>
            <m:t>)</m:t>
          </m:r>
          <m:limLow>
            <m:e>
              <m:r>
                <m:rPr>
                  <m:sty m:val="p"/>
                </m:rPr>
                <m:t>max</m:t>
              </m:r>
            </m:e>
            <m:lim>
              <m:r>
                <m:t>q</m:t>
              </m:r>
              <m:r>
                <m:rPr>
                  <m:sty m:val="p"/>
                </m:rPr>
                <m:t>∈</m:t>
              </m:r>
              <m:sSub>
                <m:e>
                  <m:r>
                    <m:t>B</m:t>
                  </m:r>
                </m:e>
                <m:sub>
                  <m:r>
                    <m:t>r</m:t>
                  </m:r>
                  <m:r>
                    <m:rPr>
                      <m:sty m:val="p"/>
                    </m:rPr>
                    <m:t>(</m:t>
                  </m:r>
                  <m:r>
                    <m:t>p</m:t>
                  </m:r>
                  <m:r>
                    <m:rPr>
                      <m:sty m:val="p"/>
                    </m:rPr>
                    <m:t>)</m:t>
                  </m:r>
                </m:sub>
              </m:sSub>
              <m:r>
                <m:rPr>
                  <m:sty m:val="p"/>
                </m:rPr>
                <m:t>(</m:t>
              </m:r>
              <m:r>
                <m:t>p</m:t>
              </m:r>
              <m:r>
                <m:rPr>
                  <m:sty m:val="p"/>
                </m:rPr>
                <m:t>)</m:t>
              </m:r>
            </m:lim>
          </m:limLow>
          <m:r>
            <m:t>f</m:t>
          </m:r>
          <m:r>
            <m:rPr>
              <m:sty m:val="p"/>
            </m:rPr>
            <m:t>(</m:t>
          </m:r>
          <m:r>
            <m:t>q</m:t>
          </m:r>
          <m:r>
            <m:rPr>
              <m:sty m:val="p"/>
            </m:rPr>
            <m:t>)</m:t>
          </m:r>
          <m:r>
            <m:rPr>
              <m:sty m:val="p"/>
            </m:rPr>
            <m:t>+</m:t>
          </m:r>
          <m:d>
            <m:dPr>
              <m:begChr m:val="("/>
              <m:sepChr m:val=""/>
              <m:endChr m:val=")"/>
              <m:grow/>
            </m:dPr>
            <m:e>
              <m:r>
                <m:t>1</m:t>
              </m:r>
              <m:r>
                <m:rPr>
                  <m:sty m:val="p"/>
                </m:rPr>
                <m:t>−</m:t>
              </m:r>
              <m:r>
                <m:t>w</m:t>
              </m:r>
              <m:r>
                <m:rPr>
                  <m:sty m:val="p"/>
                </m:rPr>
                <m:t>(</m:t>
              </m:r>
              <m:r>
                <m:t>p</m:t>
              </m:r>
              <m:r>
                <m:rPr>
                  <m:sty m:val="p"/>
                </m:rPr>
                <m:t>)</m:t>
              </m:r>
            </m:e>
          </m:d>
          <m:r>
            <m:t>f</m:t>
          </m:r>
          <m:r>
            <m:rPr>
              <m:sty m:val="p"/>
            </m:rPr>
            <m:t>(</m:t>
          </m:r>
          <m:r>
            <m:t>p</m:t>
          </m:r>
          <m:r>
            <m:rPr>
              <m:sty m:val="p"/>
            </m:rPr>
            <m:t>)</m:t>
          </m:r>
          <m:r>
            <m:t> </m:t>
          </m:r>
          <m:r>
            <m:t> </m:t>
          </m:r>
          <m:r>
            <m:rPr>
              <m:nor/>
            </m:rPr>
            <m:t>(7)</m:t>
          </m:r>
        </m:oMath>
      </m:oMathPara>
    </w:p>
    <w:p>
      <w:pPr>
        <w:pStyle w:val="FirstParagraph"/>
      </w:pPr>
      <w:r>
        <w:t xml:space="preserve">Both operators map [0, 1] to [0, 1]; for w(p) = 1 they are the classical erosion and dilation, and for w(p) = 0 they leave f(p) unchanged, so the operator’s effect decreases monotonically with local variance. Opening, closing and the final AFMO map are</w:t>
      </w:r>
    </w:p>
    <w:p>
      <w:pPr>
        <w:pStyle w:val="BodyText"/>
      </w:pPr>
      <m:oMathPara>
        <m:oMathParaPr>
          <m:jc m:val="center"/>
        </m:oMathParaPr>
        <m:oMath>
          <m:r>
            <m:t>O</m:t>
          </m:r>
          <m:r>
            <m:rPr>
              <m:sty m:val="p"/>
            </m:rPr>
            <m:t>=</m:t>
          </m:r>
          <m:sSub>
            <m:e>
              <m:r>
                <m:t>δ</m:t>
              </m:r>
            </m:e>
            <m:sub>
              <m:r>
                <m:t>w</m:t>
              </m:r>
            </m:sub>
          </m:sSub>
          <m:d>
            <m:dPr>
              <m:begChr m:val="("/>
              <m:sepChr m:val=""/>
              <m:endChr m:val=")"/>
              <m:grow/>
            </m:dPr>
            <m:e>
              <m:sSub>
                <m:e>
                  <m:r>
                    <m:t>ε</m:t>
                  </m:r>
                </m:e>
                <m:sub>
                  <m:r>
                    <m:t>w</m:t>
                  </m:r>
                </m:sub>
              </m:sSub>
              <m:r>
                <m:rPr>
                  <m:sty m:val="p"/>
                </m:rPr>
                <m:t>(</m:t>
              </m:r>
              <m:r>
                <m:t>μ</m:t>
              </m:r>
              <m:r>
                <m:rPr>
                  <m:sty m:val="p"/>
                </m:rPr>
                <m:t>)</m:t>
              </m:r>
            </m:e>
          </m:d>
          <m:r>
            <m:rPr>
              <m:sty m:val="p"/>
            </m:rPr>
            <m:t>,</m:t>
          </m:r>
          <m:r>
            <m:t>  </m:t>
          </m:r>
          <m:r>
            <m:t>C</m:t>
          </m:r>
          <m:r>
            <m:rPr>
              <m:sty m:val="p"/>
            </m:rPr>
            <m:t>=</m:t>
          </m:r>
          <m:sSub>
            <m:e>
              <m:r>
                <m:t>ε</m:t>
              </m:r>
            </m:e>
            <m:sub>
              <m:r>
                <m:t>w</m:t>
              </m:r>
            </m:sub>
          </m:sSub>
          <m:d>
            <m:dPr>
              <m:begChr m:val="("/>
              <m:sepChr m:val=""/>
              <m:endChr m:val=")"/>
              <m:grow/>
            </m:dPr>
            <m:e>
              <m:sSub>
                <m:e>
                  <m:r>
                    <m:t>δ</m:t>
                  </m:r>
                </m:e>
                <m:sub>
                  <m:r>
                    <m:t>w</m:t>
                  </m:r>
                </m:sub>
              </m:sSub>
              <m:r>
                <m:rPr>
                  <m:sty m:val="p"/>
                </m:rPr>
                <m:t>(</m:t>
              </m:r>
              <m:r>
                <m:t>μ</m:t>
              </m:r>
              <m:r>
                <m:rPr>
                  <m:sty m:val="p"/>
                </m:rPr>
                <m:t>)</m:t>
              </m:r>
            </m:e>
          </m:d>
          <m:r>
            <m:rPr>
              <m:sty m:val="p"/>
            </m:rPr>
            <m:t>,</m:t>
          </m:r>
          <m:r>
            <m:t>  </m:t>
          </m:r>
          <m:r>
            <m:t>F</m:t>
          </m:r>
          <m:r>
            <m:rPr>
              <m:sty m:val="p"/>
            </m:rPr>
            <m:t>=</m:t>
          </m:r>
          <m:r>
            <m:t>λ</m:t>
          </m:r>
          <m:r>
            <m:t> </m:t>
          </m:r>
          <m:r>
            <m:t>O</m:t>
          </m:r>
          <m:r>
            <m:rPr>
              <m:sty m:val="p"/>
            </m:rPr>
            <m:t>+</m:t>
          </m:r>
          <m:r>
            <m:rPr>
              <m:sty m:val="p"/>
            </m:rPr>
            <m:t>(</m:t>
          </m:r>
          <m:r>
            <m:t>1</m:t>
          </m:r>
          <m:r>
            <m:rPr>
              <m:sty m:val="p"/>
            </m:rPr>
            <m:t>−</m:t>
          </m:r>
          <m:r>
            <m:t>λ</m:t>
          </m:r>
          <m:r>
            <m:rPr>
              <m:sty m:val="p"/>
            </m:rPr>
            <m:t>)</m:t>
          </m:r>
          <m:r>
            <m:t> </m:t>
          </m:r>
          <m:r>
            <m:t>C</m:t>
          </m:r>
          <m:r>
            <m:rPr>
              <m:sty m:val="p"/>
            </m:rPr>
            <m:t>,</m:t>
          </m:r>
          <m:r>
            <m:t> </m:t>
          </m:r>
          <m:r>
            <m:t>λ</m:t>
          </m:r>
          <m:r>
            <m:rPr>
              <m:sty m:val="p"/>
            </m:rPr>
            <m:t>∈</m:t>
          </m:r>
          <m:r>
            <m:rPr>
              <m:sty m:val="p"/>
            </m:rPr>
            <m:t>[</m:t>
          </m:r>
          <m:r>
            <m:t>0</m:t>
          </m:r>
          <m:r>
            <m:rPr>
              <m:sty m:val="p"/>
            </m:rPr>
            <m:t>,</m:t>
          </m:r>
          <m:r>
            <m:t>1</m:t>
          </m:r>
          <m:r>
            <m:rPr>
              <m:sty m:val="p"/>
            </m:rPr>
            <m:t>]</m:t>
          </m:r>
          <m:r>
            <m:t> </m:t>
          </m:r>
          <m:r>
            <m:t> </m:t>
          </m:r>
          <m:r>
            <m:rPr>
              <m:nor/>
            </m:rPr>
            <m:t>(8)</m:t>
          </m:r>
        </m:oMath>
      </m:oMathPara>
    </w:p>
    <w:p>
      <w:pPr>
        <w:pStyle w:val="FirstParagraph"/>
      </w:pPr>
      <w:r>
        <w:t xml:space="preserve">Opening suppresses bright speckle smaller than</w:t>
      </w:r>
      <w:r>
        <w:t xml:space="preserve"> </w:t>
      </w:r>
      <m:oMath>
        <m:sSub>
          <m:e>
            <m:r>
              <m:t>B</m:t>
            </m:r>
          </m:e>
          <m:sub>
            <m:r>
              <m:t>r</m:t>
            </m:r>
          </m:sub>
        </m:sSub>
      </m:oMath>
      <w:r>
        <w:t xml:space="preserve">; closing fills dark gaps inside the nodule. α, β, γ, λ and the Otsu polarity were selected jointly on 150 validation images by the Dice coefficient between F binarized with Otsu’s threshold [27] and the dataset’s nodule masks; the selected values were α = 2, β = 0.5, γ = 2, λ = 0 (closing only) with the bright side of the threshold as nodule, giving a validation Dice of 0.245 against 0.145 for Otsu on the raw image. α and γ lie at the upper edge of their grids, so a wider grid might select larger values; the grid was not extended after the test set had been scored. Dice is reported in Section 5.2 as a segmentation-stage result only. F is passed to the classifier as a second image channel (Section 3.6), so no information is lost by binarization; in the fully automatic experiment the binarized F also supplies the crop and the descriptors.</w:t>
      </w:r>
    </w:p>
    <w:p>
      <w:pPr>
        <w:pStyle w:val="Heading1"/>
      </w:pPr>
      <w:bookmarkStart w:id="21" w:name="_0182e35c510a901a7019d0b96c6a369f5f696a5"/>
      <w:r>
        <w:t xml:space="preserve">3.6 Multimodal feature fusion</w:t>
      </w:r>
      <w:bookmarkEnd w:id="21"/>
    </w:p>
    <w:p>
      <w:pPr>
        <w:pStyle w:val="FirstParagraph"/>
      </w:pPr>
      <w:r>
        <w:t xml:space="preserve">The image embedding is produced by a convolutional backbone f_θ (ResNet-18 [11], ImageNet-1k initialization, first convolution widened to two input channels by averaging the pretrained filters) applied to the normalized image and the AFMO map stacked as channels:</w:t>
      </w:r>
    </w:p>
    <w:p>
      <w:pPr>
        <w:pStyle w:val="BodyText"/>
      </w:pPr>
      <m:oMathPara>
        <m:oMathParaPr>
          <m:jc m:val="center"/>
        </m:oMathParaPr>
        <m:oMath>
          <m:sSub>
            <m:e>
              <m:r>
                <m:rPr>
                  <m:sty m:val="bi"/>
                </m:rPr>
                <m:t>h</m:t>
              </m:r>
            </m:e>
            <m:sub>
              <m:r>
                <m:rPr>
                  <m:nor/>
                </m:rPr>
                <m:t>img</m:t>
              </m:r>
            </m:sub>
          </m:sSub>
          <m:r>
            <m:rPr>
              <m:sty m:val="p"/>
            </m:rPr>
            <m:t>=</m:t>
          </m:r>
          <m:sSub>
            <m:e>
              <m:r>
                <m:t>f</m:t>
              </m:r>
            </m:e>
            <m:sub>
              <m:r>
                <m:t>θ</m:t>
              </m:r>
            </m:sub>
          </m:sSub>
          <m:d>
            <m:dPr>
              <m:begChr m:val="("/>
              <m:sepChr m:val=""/>
              <m:endChr m:val=")"/>
              <m:grow/>
            </m:dPr>
            <m:e>
              <m:r>
                <m:rPr>
                  <m:sty m:val="p"/>
                </m:rPr>
                <m:t>[</m:t>
              </m:r>
              <m:acc>
                <m:accPr>
                  <m:chr m:val="̃"/>
                </m:accPr>
                <m:e>
                  <m:r>
                    <m:t>x</m:t>
                  </m:r>
                </m:e>
              </m:acc>
              <m:r>
                <m:rPr>
                  <m:sty m:val="p"/>
                </m:rPr>
                <m:t>,</m:t>
              </m:r>
              <m:r>
                <m:t> </m:t>
              </m:r>
              <m:r>
                <m:t>F</m:t>
              </m:r>
              <m:r>
                <m:rPr>
                  <m:sty m:val="p"/>
                </m:rPr>
                <m:t>]</m:t>
              </m:r>
            </m:e>
          </m:d>
          <m:r>
            <m:rPr>
              <m:sty m:val="p"/>
            </m:rPr>
            <m:t>∈</m:t>
          </m:r>
          <m:sSup>
            <m:e>
              <m:r>
                <m:rPr>
                  <m:scr m:val="double-struck"/>
                  <m:sty m:val="p"/>
                </m:rPr>
                <m:t>R</m:t>
              </m:r>
            </m:e>
            <m:sup>
              <m:sSub>
                <m:e>
                  <m:r>
                    <m:t>d</m:t>
                  </m:r>
                </m:e>
                <m:sub>
                  <m:r>
                    <m:t>h</m:t>
                  </m:r>
                </m:sub>
              </m:sSub>
            </m:sup>
          </m:sSup>
          <m:r>
            <m:t> </m:t>
          </m:r>
          <m:r>
            <m:t> </m:t>
          </m:r>
          <m:r>
            <m:rPr>
              <m:nor/>
            </m:rPr>
            <m:t>(9)</m:t>
          </m:r>
        </m:oMath>
      </m:oMathPara>
    </w:p>
    <w:p>
      <w:pPr>
        <w:pStyle w:val="FirstParagraph"/>
      </w:pPr>
      <w:r>
        <w:t xml:space="preserve">Each modality m carries a quality coefficient</w:t>
      </w:r>
      <w:r>
        <w:t xml:space="preserve"> </w:t>
      </w:r>
      <m:oMath>
        <m:sSub>
          <m:e>
            <m:r>
              <m:t>Q</m:t>
            </m:r>
          </m:e>
          <m:sub>
            <m:r>
              <m:t>m</m:t>
            </m:r>
          </m:sub>
        </m:sSub>
      </m:oMath>
      <w:r>
        <w:t xml:space="preserve">. For the image,</w:t>
      </w:r>
      <w:r>
        <w:t xml:space="preserve"> </w:t>
      </w:r>
      <m:oMath>
        <m:sSub>
          <m:e>
            <m:r>
              <m:t>Q</m:t>
            </m:r>
          </m:e>
          <m:sub>
            <m:r>
              <m:t>i</m:t>
            </m:r>
            <m:r>
              <m:t>m</m:t>
            </m:r>
            <m:r>
              <m:t>g</m:t>
            </m:r>
          </m:sub>
        </m:sSub>
      </m:oMath>
      <w:r>
        <w:t xml:space="preserve"> </w:t>
      </w:r>
      <w:r>
        <w:t xml:space="preserve">= q from Eq. (3); for a tabular modality with</w:t>
      </w:r>
      <w:r>
        <w:t xml:space="preserve"> </w:t>
      </w:r>
      <m:oMath>
        <m:sSub>
          <m:e>
            <m:r>
              <m:t>d</m:t>
            </m:r>
          </m:e>
          <m:sub>
            <m:r>
              <m:t>m</m:t>
            </m:r>
          </m:sub>
        </m:sSub>
      </m:oMath>
      <w:r>
        <w:t xml:space="preserve"> </w:t>
      </w:r>
      <w:r>
        <w:t xml:space="preserve">variables and observation indicators</w:t>
      </w:r>
      <w:r>
        <w:t xml:space="preserve"> </w:t>
      </w:r>
      <m:oMath>
        <m:sSub>
          <m:e>
            <m:r>
              <m:t>o</m:t>
            </m:r>
          </m:e>
          <m:sub>
            <m:r>
              <m:t>m</m:t>
            </m:r>
            <m:r>
              <m:t>j</m:t>
            </m:r>
          </m:sub>
        </m:sSub>
      </m:oMath>
      <w:r>
        <w:t xml:space="preserve"> </w:t>
      </w:r>
      <w:r>
        <w:t xml:space="preserve">(1 = measured, 0 = imputed),</w:t>
      </w:r>
    </w:p>
    <w:p>
      <w:pPr>
        <w:pStyle w:val="BodyText"/>
      </w:pPr>
      <m:oMathPara>
        <m:oMathParaPr>
          <m:jc m:val="center"/>
        </m:oMathParaPr>
        <m:oMath>
          <m:sSub>
            <m:e>
              <m:r>
                <m:t>Q</m:t>
              </m:r>
            </m:e>
            <m:sub>
              <m:r>
                <m:t>m</m:t>
              </m:r>
            </m:sub>
          </m:sSub>
          <m:r>
            <m:rPr>
              <m:sty m:val="p"/>
            </m:rPr>
            <m:t>=</m:t>
          </m:r>
          <m:f>
            <m:fPr>
              <m:type m:val="bar"/>
            </m:fPr>
            <m:num>
              <m:r>
                <m:t>1</m:t>
              </m:r>
            </m:num>
            <m:den>
              <m:sSub>
                <m:e>
                  <m:r>
                    <m:t>d</m:t>
                  </m:r>
                </m:e>
                <m:sub>
                  <m:r>
                    <m:t>m</m:t>
                  </m:r>
                </m:sub>
              </m:sSub>
            </m:den>
          </m:f>
          <m:nary>
            <m:naryPr>
              <m:chr m:val="∑"/>
              <m:limLoc m:val="undOvr"/>
              <m:subHide m:val="off"/>
              <m:supHide m:val="off"/>
            </m:naryPr>
            <m:sub>
              <m:r>
                <m:t>j</m:t>
              </m:r>
              <m:r>
                <m:rPr>
                  <m:sty m:val="p"/>
                </m:rPr>
                <m:t>=</m:t>
              </m:r>
              <m:r>
                <m:t>1</m:t>
              </m:r>
            </m:sub>
            <m:sup>
              <m:sSub>
                <m:e>
                  <m:r>
                    <m:t>d</m:t>
                  </m:r>
                </m:e>
                <m:sub>
                  <m:r>
                    <m:t>m</m:t>
                  </m:r>
                </m:sub>
              </m:sSub>
            </m:sup>
            <m:e>
              <m:sSub>
                <m:e>
                  <m:r>
                    <m:t>o</m:t>
                  </m:r>
                </m:e>
                <m:sub>
                  <m:r>
                    <m:t>m</m:t>
                  </m:r>
                  <m:r>
                    <m:t>j</m:t>
                  </m:r>
                </m:sub>
              </m:sSub>
            </m:e>
          </m:nary>
          <m:r>
            <m:rPr>
              <m:sty m:val="p"/>
            </m:rPr>
            <m:t>,</m:t>
          </m:r>
          <m:r>
            <m:t>  </m:t>
          </m:r>
          <m:r>
            <m:t>m</m:t>
          </m:r>
          <m:r>
            <m:rPr>
              <m:sty m:val="p"/>
            </m:rPr>
            <m:t>∈</m:t>
          </m:r>
          <m:r>
            <m:rPr>
              <m:sty m:val="p"/>
            </m:rPr>
            <m:t>{</m:t>
          </m:r>
          <m:r>
            <m:rPr>
              <m:nor/>
            </m:rPr>
            <m:t>lab</m:t>
          </m:r>
          <m:r>
            <m:rPr>
              <m:sty m:val="p"/>
            </m:rPr>
            <m:t>,</m:t>
          </m:r>
          <m:r>
            <m:t> </m:t>
          </m:r>
          <m:r>
            <m:rPr>
              <m:nor/>
            </m:rPr>
            <m:t>clin</m:t>
          </m:r>
          <m:r>
            <m:rPr>
              <m:sty m:val="p"/>
            </m:rPr>
            <m:t>,</m:t>
          </m:r>
          <m:r>
            <m:t> </m:t>
          </m:r>
          <m:r>
            <m:rPr>
              <m:nor/>
            </m:rPr>
            <m:t>reg</m:t>
          </m:r>
          <m:r>
            <m:rPr>
              <m:sty m:val="p"/>
            </m:rPr>
            <m:t>}</m:t>
          </m:r>
          <m:r>
            <m:t> </m:t>
          </m:r>
          <m:r>
            <m:t> </m:t>
          </m:r>
          <m:r>
            <m:rPr>
              <m:nor/>
            </m:rPr>
            <m:t>(10)</m:t>
          </m:r>
        </m:oMath>
      </m:oMathPara>
    </w:p>
    <w:p>
      <w:pPr>
        <w:pStyle w:val="FirstParagraph"/>
      </w:pPr>
      <w:r>
        <w:t xml:space="preserve">Tabular vectors are z-scored with the training-partition mean and standard deviation (denoted by a tilde); in the clinical instantiation sex is coded 0/1 and TI-RADS is kept ordinal. Because the modality vectors have different dimensions and units, they are fused by concatenation. In general form,</w:t>
      </w:r>
    </w:p>
    <w:p>
      <w:pPr>
        <w:pStyle w:val="BodyText"/>
      </w:pPr>
      <m:oMathPara>
        <m:oMathParaPr>
          <m:jc m:val="center"/>
        </m:oMathParaPr>
        <m:oMath>
          <m:r>
            <m:rPr>
              <m:sty m:val="bi"/>
            </m:rPr>
            <m:t>z</m:t>
          </m:r>
          <m:r>
            <m:rPr>
              <m:sty m:val="p"/>
            </m:rPr>
            <m:t>=</m:t>
          </m:r>
          <m:d>
            <m:dPr>
              <m:begChr m:val="["/>
              <m:sepChr m:val=""/>
              <m:endChr m:val="]"/>
              <m:grow/>
            </m:dPr>
            <m:e>
              <m:r>
                <m:t> </m:t>
              </m:r>
              <m:sSub>
                <m:e>
                  <m:r>
                    <m:t>Q</m:t>
                  </m:r>
                </m:e>
                <m:sub>
                  <m:r>
                    <m:rPr>
                      <m:nor/>
                    </m:rPr>
                    <m:t>img</m:t>
                  </m:r>
                </m:sub>
              </m:sSub>
              <m:sSub>
                <m:e>
                  <m:r>
                    <m:rPr>
                      <m:sty m:val="bi"/>
                    </m:rPr>
                    <m:t>h</m:t>
                  </m:r>
                </m:e>
                <m:sub>
                  <m:r>
                    <m:rPr>
                      <m:nor/>
                    </m:rPr>
                    <m:t>img</m:t>
                  </m:r>
                </m:sub>
              </m:sSub>
              <m:r>
                <m:rPr>
                  <m:sty m:val="p"/>
                </m:rPr>
                <m:t>;</m:t>
              </m:r>
              <m:r>
                <m:t> </m:t>
              </m:r>
              <m:sSub>
                <m:e>
                  <m:r>
                    <m:t>Q</m:t>
                  </m:r>
                </m:e>
                <m:sub>
                  <m:r>
                    <m:rPr>
                      <m:nor/>
                    </m:rPr>
                    <m:t>lab</m:t>
                  </m:r>
                </m:sub>
              </m:sSub>
              <m:acc>
                <m:accPr>
                  <m:chr m:val="̃"/>
                </m:accPr>
                <m:e>
                  <m:r>
                    <m:rPr>
                      <m:sty m:val="bi"/>
                    </m:rPr>
                    <m:t>l</m:t>
                  </m:r>
                </m:e>
              </m:acc>
              <m:r>
                <m:rPr>
                  <m:sty m:val="p"/>
                </m:rPr>
                <m:t>;</m:t>
              </m:r>
              <m:r>
                <m:t> </m:t>
              </m:r>
              <m:sSub>
                <m:e>
                  <m:r>
                    <m:t>Q</m:t>
                  </m:r>
                </m:e>
                <m:sub>
                  <m:r>
                    <m:rPr>
                      <m:nor/>
                    </m:rPr>
                    <m:t>clin</m:t>
                  </m:r>
                </m:sub>
              </m:sSub>
              <m:acc>
                <m:accPr>
                  <m:chr m:val="̃"/>
                </m:accPr>
                <m:e>
                  <m:r>
                    <m:rPr>
                      <m:sty m:val="bi"/>
                    </m:rPr>
                    <m:t>c</m:t>
                  </m:r>
                </m:e>
              </m:acc>
              <m:r>
                <m:rPr>
                  <m:sty m:val="p"/>
                </m:rPr>
                <m:t>;</m:t>
              </m:r>
              <m:r>
                <m:t> </m:t>
              </m:r>
              <m:sSub>
                <m:e>
                  <m:r>
                    <m:t>Q</m:t>
                  </m:r>
                </m:e>
                <m:sub>
                  <m:r>
                    <m:rPr>
                      <m:nor/>
                    </m:rPr>
                    <m:t>reg</m:t>
                  </m:r>
                </m:sub>
              </m:sSub>
              <m:acc>
                <m:accPr>
                  <m:chr m:val="̃"/>
                </m:accPr>
                <m:e>
                  <m:r>
                    <m:rPr>
                      <m:sty m:val="bi"/>
                    </m:rPr>
                    <m:t>r</m:t>
                  </m:r>
                </m:e>
              </m:acc>
              <m:r>
                <m:rPr>
                  <m:sty m:val="p"/>
                </m:rPr>
                <m:t>;</m:t>
              </m:r>
              <m:r>
                <m:t> </m:t>
              </m:r>
              <m:sSub>
                <m:e>
                  <m:r>
                    <m:t>Q</m:t>
                  </m:r>
                </m:e>
                <m:sub>
                  <m:r>
                    <m:rPr>
                      <m:nor/>
                    </m:rPr>
                    <m:t>img</m:t>
                  </m:r>
                </m:sub>
              </m:sSub>
              <m:r>
                <m:rPr>
                  <m:sty m:val="p"/>
                </m:rPr>
                <m:t>,</m:t>
              </m:r>
              <m:sSub>
                <m:e>
                  <m:r>
                    <m:t>Q</m:t>
                  </m:r>
                </m:e>
                <m:sub>
                  <m:r>
                    <m:rPr>
                      <m:nor/>
                    </m:rPr>
                    <m:t>lab</m:t>
                  </m:r>
                </m:sub>
              </m:sSub>
              <m:r>
                <m:rPr>
                  <m:sty m:val="p"/>
                </m:rPr>
                <m:t>,</m:t>
              </m:r>
              <m:sSub>
                <m:e>
                  <m:r>
                    <m:t>Q</m:t>
                  </m:r>
                </m:e>
                <m:sub>
                  <m:r>
                    <m:rPr>
                      <m:nor/>
                    </m:rPr>
                    <m:t>clin</m:t>
                  </m:r>
                </m:sub>
              </m:sSub>
              <m:r>
                <m:rPr>
                  <m:sty m:val="p"/>
                </m:rPr>
                <m:t>,</m:t>
              </m:r>
              <m:sSub>
                <m:e>
                  <m:r>
                    <m:t>Q</m:t>
                  </m:r>
                </m:e>
                <m:sub>
                  <m:r>
                    <m:rPr>
                      <m:nor/>
                    </m:rPr>
                    <m:t>reg</m:t>
                  </m:r>
                </m:sub>
              </m:sSub>
              <m:r>
                <m:t> </m:t>
              </m:r>
            </m:e>
          </m:d>
          <m:r>
            <m:rPr>
              <m:sty m:val="p"/>
            </m:rPr>
            <m:t>∈</m:t>
          </m:r>
          <m:sSup>
            <m:e>
              <m:r>
                <m:rPr>
                  <m:scr m:val="double-struck"/>
                  <m:sty m:val="p"/>
                </m:rPr>
                <m:t>R</m:t>
              </m:r>
            </m:e>
            <m:sup>
              <m:sSub>
                <m:e>
                  <m:r>
                    <m:t>d</m:t>
                  </m:r>
                </m:e>
                <m:sub>
                  <m:r>
                    <m:t>z</m:t>
                  </m:r>
                </m:sub>
              </m:sSub>
            </m:sup>
          </m:sSup>
          <m:r>
            <m:rPr>
              <m:sty m:val="p"/>
            </m:rPr>
            <m:t>,</m:t>
          </m:r>
          <m:r>
            <m:t> </m:t>
          </m:r>
          <m:sSub>
            <m:e>
              <m:r>
                <m:t>d</m:t>
              </m:r>
            </m:e>
            <m:sub>
              <m:r>
                <m:t>z</m:t>
              </m:r>
            </m:sub>
          </m:sSub>
          <m:r>
            <m:rPr>
              <m:sty m:val="p"/>
            </m:rPr>
            <m:t>=</m:t>
          </m:r>
          <m:sSub>
            <m:e>
              <m:r>
                <m:t>d</m:t>
              </m:r>
            </m:e>
            <m:sub>
              <m:r>
                <m:t>h</m:t>
              </m:r>
            </m:sub>
          </m:sSub>
          <m:r>
            <m:rPr>
              <m:sty m:val="p"/>
            </m:rPr>
            <m:t>+</m:t>
          </m:r>
          <m:sSub>
            <m:e>
              <m:r>
                <m:t>d</m:t>
              </m:r>
            </m:e>
            <m:sub>
              <m:r>
                <m:t>l</m:t>
              </m:r>
            </m:sub>
          </m:sSub>
          <m:r>
            <m:rPr>
              <m:sty m:val="p"/>
            </m:rPr>
            <m:t>+</m:t>
          </m:r>
          <m:sSub>
            <m:e>
              <m:r>
                <m:t>d</m:t>
              </m:r>
            </m:e>
            <m:sub>
              <m:r>
                <m:t>c</m:t>
              </m:r>
            </m:sub>
          </m:sSub>
          <m:r>
            <m:rPr>
              <m:sty m:val="p"/>
            </m:rPr>
            <m:t>+</m:t>
          </m:r>
          <m:sSub>
            <m:e>
              <m:r>
                <m:t>d</m:t>
              </m:r>
            </m:e>
            <m:sub>
              <m:r>
                <m:t>r</m:t>
              </m:r>
            </m:sub>
          </m:sSub>
          <m:r>
            <m:rPr>
              <m:sty m:val="p"/>
            </m:rPr>
            <m:t>+</m:t>
          </m:r>
          <m:r>
            <m:t>4</m:t>
          </m:r>
          <m:r>
            <m:t> </m:t>
          </m:r>
          <m:r>
            <m:t> </m:t>
          </m:r>
          <m:r>
            <m:rPr>
              <m:nor/>
            </m:rPr>
            <m:t>(11)</m:t>
          </m:r>
        </m:oMath>
      </m:oMathPara>
    </w:p>
    <w:p>
      <w:pPr>
        <w:pStyle w:val="FirstParagraph"/>
      </w:pPr>
      <w:r>
        <w:t xml:space="preserve">and on TN3K, where only the descriptor vector exists, z = [</w:t>
      </w:r>
      <m:oMath>
        <m:sSub>
          <m:e>
            <m:r>
              <m:t>Q</m:t>
            </m:r>
          </m:e>
          <m:sub>
            <m:r>
              <m:t>i</m:t>
            </m:r>
            <m:r>
              <m:t>m</m:t>
            </m:r>
            <m:r>
              <m:t>g</m:t>
            </m:r>
          </m:sub>
        </m:sSub>
      </m:oMath>
      <w:r>
        <w:t xml:space="preserve"> </w:t>
      </w:r>
      <m:oMath>
        <m:sSub>
          <m:e>
            <m:r>
              <m:t>h</m:t>
            </m:r>
          </m:e>
          <m:sub>
            <m:r>
              <m:t>i</m:t>
            </m:r>
            <m:r>
              <m:t>m</m:t>
            </m:r>
            <m:r>
              <m:t>g</m:t>
            </m:r>
          </m:sub>
        </m:sSub>
      </m:oMath>
      <w:r>
        <w:t xml:space="preserve"> </w:t>
      </w:r>
      <w:r>
        <w:t xml:space="preserve">;</w:t>
      </w:r>
      <w:r>
        <w:t xml:space="preserve"> </w:t>
      </w:r>
      <m:oMath>
        <m:sSub>
          <m:e>
            <m:r>
              <m:t>Q</m:t>
            </m:r>
          </m:e>
          <m:sub>
            <m:r>
              <m:t>s</m:t>
            </m:r>
            <m:r>
              <m:t>t</m:t>
            </m:r>
            <m:r>
              <m:t>r</m:t>
            </m:r>
            <m:r>
              <m:t>u</m:t>
            </m:r>
            <m:r>
              <m:t>c</m:t>
            </m:r>
            <m:r>
              <m:t>t</m:t>
            </m:r>
          </m:sub>
        </m:sSub>
      </m:oMath>
      <w:r>
        <w:t xml:space="preserve"> </w:t>
      </w:r>
      <m:oMath>
        <m:acc>
          <m:accPr>
            <m:chr m:val="̃"/>
          </m:accPr>
          <m:e>
            <m:r>
              <m:t>d</m:t>
            </m:r>
          </m:e>
        </m:acc>
      </m:oMath>
      <w:r>
        <w:t xml:space="preserve"> </w:t>
      </w:r>
      <w:r>
        <w:t xml:space="preserve">;</w:t>
      </w:r>
      <w:r>
        <w:t xml:space="preserve"> </w:t>
      </w:r>
      <m:oMath>
        <m:sSub>
          <m:e>
            <m:r>
              <m:t>Q</m:t>
            </m:r>
          </m:e>
          <m:sub>
            <m:r>
              <m:t>i</m:t>
            </m:r>
            <m:r>
              <m:t>m</m:t>
            </m:r>
            <m:r>
              <m:t>g</m:t>
            </m:r>
          </m:sub>
        </m:sSub>
      </m:oMath>
      <w:r>
        <w:t xml:space="preserve">,</w:t>
      </w:r>
      <w:r>
        <w:t xml:space="preserve"> </w:t>
      </w:r>
      <m:oMath>
        <m:sSub>
          <m:e>
            <m:r>
              <m:t>Q</m:t>
            </m:r>
          </m:e>
          <m:sub>
            <m:r>
              <m:t>s</m:t>
            </m:r>
            <m:r>
              <m:t>t</m:t>
            </m:r>
            <m:r>
              <m:t>r</m:t>
            </m:r>
            <m:r>
              <m:t>u</m:t>
            </m:r>
            <m:r>
              <m:t>c</m:t>
            </m:r>
            <m:r>
              <m:t>t</m:t>
            </m:r>
          </m:sub>
        </m:sSub>
      </m:oMath>
      <w:r>
        <w:t xml:space="preserve">] with</w:t>
      </w:r>
      <w:r>
        <w:t xml:space="preserve"> </w:t>
      </w:r>
      <m:oMath>
        <m:sSub>
          <m:e>
            <m:r>
              <m:t>d</m:t>
            </m:r>
          </m:e>
          <m:sub>
            <m:r>
              <m:t>z</m:t>
            </m:r>
          </m:sub>
        </m:sSub>
      </m:oMath>
      <w:r>
        <w:t xml:space="preserve"> </w:t>
      </w:r>
      <w:r>
        <w:t xml:space="preserve">= 128 + 11 + 2 = 141. The quality coefficients are appended as features so that tree learners can model interactions between data quality and value. One backbone per seed, trained on the full training partition and early-stopped on validation, produces</w:t>
      </w:r>
      <w:r>
        <w:t xml:space="preserve"> </w:t>
      </w:r>
      <m:oMath>
        <m:sSub>
          <m:e>
            <m:r>
              <m:t>h</m:t>
            </m:r>
          </m:e>
          <m:sub>
            <m:r>
              <m:t>i</m:t>
            </m:r>
            <m:r>
              <m:t>m</m:t>
            </m:r>
            <m:r>
              <m:t>g</m:t>
            </m:r>
          </m:sub>
        </m:sSub>
      </m:oMath>
      <w:r>
        <w:t xml:space="preserve"> </w:t>
      </w:r>
      <w:r>
        <w:t xml:space="preserve">for every image, so all embeddings share one coordinate system (embeddings from separately trained fold models are not comparable). Training-row embeddings are therefore in-sample; to limit the resulting optimism, every downstream learner is tuned on the validation partition only and the test partition is scored once.</w:t>
      </w:r>
    </w:p>
    <w:p>
      <w:pPr>
        <w:pStyle w:val="Heading1"/>
      </w:pPr>
      <w:bookmarkStart w:id="22" w:name="_2bf4282ef8ebe0b03957a43a4741189a87f893a"/>
      <w:r>
        <w:t xml:space="preserve">3.7 Base learners</w:t>
      </w:r>
      <w:bookmarkEnd w:id="22"/>
    </w:p>
    <w:p>
      <w:pPr>
        <w:pStyle w:val="FirstParagraph"/>
      </w:pPr>
      <w:r>
        <w:t xml:space="preserve">Four learners map z to a malignancy probability</w:t>
      </w:r>
      <w:r>
        <w:t xml:space="preserve"> </w:t>
      </w:r>
      <m:oMath>
        <m:sSub>
          <m:e>
            <m:r>
              <m:t>p</m:t>
            </m:r>
          </m:e>
          <m:sub>
            <m:r>
              <m:t>k</m:t>
            </m:r>
          </m:sub>
        </m:sSub>
      </m:oMath>
      <w:r>
        <w:t xml:space="preserve"> </w:t>
      </w:r>
      <w:r>
        <w:t xml:space="preserve">in [0, 1]. All hyperparameters were selected on the validation partition; grids and selected values are listed in Supplementary Table S2.</w:t>
      </w:r>
    </w:p>
    <w:tbl>
      <w:tblPr>
        <w:tblStyle w:val="Table"/>
        <w:tblW w:type="pct" w:w="5000"/>
        <w:tblLayout w:type="fixed"/>
        <w:tblLook w:firstRow="1" w:lastRow="0" w:firstColumn="0" w:lastColumn="0" w:noHBand="0" w:noVBand="0" w:val="0020"/>
      </w:tblPr>
      <w:tblGrid>
        <w:gridCol w:w="917"/>
        <w:gridCol w:w="2334"/>
        <w:gridCol w:w="2334"/>
        <w:gridCol w:w="2334"/>
      </w:tblGrid>
      <w:tr>
        <w:trPr>
          <w:tblHeader w:val="on"/>
        </w:trPr>
        <w:tc>
          <w:tcPr/>
          <w:p>
            <w:pPr>
              <w:pStyle w:val="Compact"/>
              <w:spacing w:after="20" w:before="20" w:line="240" w:lineRule="auto"/>
            </w:pPr>
            <w:r>
              <w:rPr>
                <w:sz w:val="18"/>
              </w:rPr>
              <w:t xml:space="preserve">Learner k</w:t>
            </w:r>
          </w:p>
        </w:tc>
        <w:tc>
          <w:tcPr/>
          <w:p>
            <w:pPr>
              <w:pStyle w:val="Compact"/>
              <w:spacing w:after="20" w:before="20" w:line="240" w:lineRule="auto"/>
            </w:pPr>
            <w:r>
              <w:rPr>
                <w:sz w:val="18"/>
              </w:rPr>
              <w:t xml:space="preserve">Model</w:t>
            </w:r>
          </w:p>
        </w:tc>
        <w:tc>
          <w:tcPr/>
          <w:p>
            <w:pPr>
              <w:pStyle w:val="Compact"/>
              <w:spacing w:after="20" w:before="20" w:line="240" w:lineRule="auto"/>
            </w:pPr>
            <w:r>
              <w:rPr>
                <w:sz w:val="18"/>
              </w:rPr>
              <w:t xml:space="preserve">Output</w:t>
            </w:r>
            <w:r>
              <w:rPr>
                <w:sz w:val="18"/>
              </w:rPr>
              <w:t xml:space="preserve"> </w:t>
            </w:r>
            <m:oMath>
              <m:sSub>
                <m:e>
                  <m:r>
                    <m:t>p</m:t>
                  </m:r>
                </m:e>
                <m:sub>
                  <m:r>
                    <m:t>k</m:t>
                  </m:r>
                </m:sub>
              </m:sSub>
            </m:oMath>
          </w:p>
        </w:tc>
        <w:tc>
          <w:tcPr/>
          <w:p>
            <w:pPr>
              <w:pStyle w:val="Compact"/>
              <w:spacing w:after="20" w:before="20" w:line="240" w:lineRule="auto"/>
            </w:pPr>
            <w:r>
              <w:rPr>
                <w:sz w:val="18"/>
              </w:rPr>
              <w:t xml:space="preserve">Hyperparameters tuned</w:t>
            </w:r>
          </w:p>
        </w:tc>
      </w:tr>
      <w:tr>
        <w:tc>
          <w:tcPr/>
          <w:p>
            <w:pPr>
              <w:pStyle w:val="Compact"/>
              <w:spacing w:after="20" w:before="20" w:line="240" w:lineRule="auto"/>
            </w:pPr>
            <w:r>
              <w:rPr>
                <w:sz w:val="18"/>
              </w:rPr>
              <w:t xml:space="preserve">DL</w:t>
            </w:r>
          </w:p>
        </w:tc>
        <w:tc>
          <w:tcPr/>
          <w:p>
            <w:pPr>
              <w:pStyle w:val="Compact"/>
              <w:spacing w:after="20" w:before="20" w:line="240" w:lineRule="auto"/>
            </w:pPr>
            <w:r>
              <w:rPr>
                <w:sz w:val="18"/>
              </w:rPr>
              <w:t xml:space="preserve">f_θ trained end-to-end with a two-layer head g_φ:</w:t>
            </w:r>
            <w:r>
              <w:rPr>
                <w:sz w:val="18"/>
              </w:rPr>
              <w:t xml:space="preserve"> </w:t>
            </w:r>
            <m:oMath>
              <m:sSub>
                <m:e>
                  <m:r>
                    <m:t>d</m:t>
                  </m:r>
                </m:e>
                <m:sub>
                  <m:r>
                    <m:t>z</m:t>
                  </m:r>
                </m:sub>
              </m:sSub>
            </m:oMath>
            <w:r>
              <w:rPr>
                <w:sz w:val="18"/>
              </w:rPr>
              <w:t xml:space="preserve"> </w:t>
            </w:r>
            <w:r>
              <w:rPr>
                <w:sz w:val="18"/>
              </w:rPr>
              <w:t xml:space="preserve">→ 64 → 1, sigmoid output, binary cross-entropy, AdamW, early stopping on validation AUC</w:t>
            </w:r>
          </w:p>
        </w:tc>
        <w:tc>
          <w:tcPr/>
          <w:p>
            <w:pPr>
              <w:pStyle w:val="Compact"/>
              <w:spacing w:after="20" w:before="20" w:line="240" w:lineRule="auto"/>
            </w:pPr>
            <m:oMath>
              <m:sSub>
                <m:e>
                  <m:r>
                    <m:t>p</m:t>
                  </m:r>
                </m:e>
                <m:sub>
                  <m:r>
                    <m:t>D</m:t>
                  </m:r>
                  <m:r>
                    <m:t>L</m:t>
                  </m:r>
                </m:sub>
              </m:sSub>
            </m:oMath>
            <w:r>
              <w:rPr>
                <w:sz w:val="18"/>
              </w:rPr>
              <w:t xml:space="preserve"> </w:t>
            </w:r>
            <w:r>
              <w:rPr>
                <w:sz w:val="18"/>
              </w:rPr>
              <w:t xml:space="preserve">= g_φ(z)</w:t>
            </w:r>
          </w:p>
        </w:tc>
        <w:tc>
          <w:tcPr/>
          <w:p>
            <w:pPr>
              <w:pStyle w:val="Compact"/>
              <w:spacing w:after="20" w:before="20" w:line="240" w:lineRule="auto"/>
            </w:pPr>
            <w:r>
              <w:rPr>
                <w:sz w:val="18"/>
              </w:rPr>
              <w:t xml:space="preserve">learning rate, weight decay, dropout, augmentation strength</w:t>
            </w:r>
          </w:p>
        </w:tc>
      </w:tr>
      <w:tr>
        <w:tc>
          <w:tcPr/>
          <w:p>
            <w:pPr>
              <w:pStyle w:val="Compact"/>
              <w:spacing w:after="20" w:before="20" w:line="240" w:lineRule="auto"/>
            </w:pPr>
            <w:r>
              <w:rPr>
                <w:sz w:val="18"/>
              </w:rPr>
              <w:t xml:space="preserve">RF</w:t>
            </w:r>
          </w:p>
        </w:tc>
        <w:tc>
          <w:tcPr/>
          <w:p>
            <w:pPr>
              <w:pStyle w:val="Compact"/>
              <w:spacing w:after="20" w:before="20" w:line="240" w:lineRule="auto"/>
            </w:pPr>
            <w:r>
              <w:rPr>
                <w:sz w:val="18"/>
              </w:rPr>
              <w:t xml:space="preserve">random forest [16]</w:t>
            </w:r>
          </w:p>
        </w:tc>
        <w:tc>
          <w:tcPr/>
          <w:p>
            <w:pPr>
              <w:pStyle w:val="Compact"/>
              <w:spacing w:after="20" w:before="20" w:line="240" w:lineRule="auto"/>
            </w:pPr>
            <w:r>
              <w:rPr>
                <w:sz w:val="18"/>
              </w:rPr>
              <w:t xml:space="preserve">out-of-bag-calibrated class fraction</w:t>
            </w:r>
          </w:p>
        </w:tc>
        <w:tc>
          <w:tcPr/>
          <w:p>
            <w:pPr>
              <w:pStyle w:val="Compact"/>
              <w:spacing w:after="20" w:before="20" w:line="240" w:lineRule="auto"/>
            </w:pPr>
            <w:r>
              <w:rPr>
                <w:sz w:val="18"/>
              </w:rPr>
              <w:t xml:space="preserve">number of trees 500, maximum features, minimum leaf size</w:t>
            </w:r>
          </w:p>
        </w:tc>
      </w:tr>
      <w:tr>
        <w:tc>
          <w:tcPr/>
          <w:p>
            <w:pPr>
              <w:pStyle w:val="Compact"/>
              <w:spacing w:after="20" w:before="20" w:line="240" w:lineRule="auto"/>
            </w:pPr>
            <w:r>
              <w:rPr>
                <w:sz w:val="18"/>
              </w:rPr>
              <w:t xml:space="preserve">XGB</w:t>
            </w:r>
          </w:p>
        </w:tc>
        <w:tc>
          <w:tcPr/>
          <w:p>
            <w:pPr>
              <w:pStyle w:val="Compact"/>
              <w:spacing w:after="20" w:before="20" w:line="240" w:lineRule="auto"/>
            </w:pPr>
            <w:r>
              <w:rPr>
                <w:sz w:val="18"/>
              </w:rPr>
              <w:t xml:space="preserve">gradient-boosted trees [17], logistic objective</w:t>
            </w:r>
          </w:p>
        </w:tc>
        <w:tc>
          <w:tcPr/>
          <w:p>
            <w:pPr>
              <w:pStyle w:val="Compact"/>
              <w:spacing w:after="20" w:before="20" w:line="240" w:lineRule="auto"/>
            </w:pPr>
            <w:r>
              <w:rPr>
                <w:sz w:val="18"/>
              </w:rPr>
              <w:t xml:space="preserve">sigmoid of the boosted score</w:t>
            </w:r>
          </w:p>
        </w:tc>
        <w:tc>
          <w:tcPr/>
          <w:p>
            <w:pPr>
              <w:pStyle w:val="Compact"/>
              <w:spacing w:after="20" w:before="20" w:line="240" w:lineRule="auto"/>
            </w:pPr>
            <w:r>
              <w:rPr>
                <w:sz w:val="18"/>
              </w:rPr>
              <w:t xml:space="preserve">depth, learning rate, number of rounds, subsample, column sample</w:t>
            </w:r>
          </w:p>
        </w:tc>
      </w:tr>
      <w:tr>
        <w:tc>
          <w:tcPr/>
          <w:p>
            <w:pPr>
              <w:pStyle w:val="Compact"/>
              <w:spacing w:after="20" w:before="20" w:line="240" w:lineRule="auto"/>
            </w:pPr>
            <w:r>
              <w:rPr>
                <w:sz w:val="18"/>
              </w:rPr>
              <w:t xml:space="preserve">FSVM</w:t>
            </w:r>
          </w:p>
        </w:tc>
        <w:tc>
          <w:tcPr/>
          <w:p>
            <w:pPr>
              <w:pStyle w:val="Compact"/>
              <w:spacing w:after="20" w:before="20" w:line="240" w:lineRule="auto"/>
            </w:pPr>
            <w:r>
              <w:rPr>
                <w:sz w:val="18"/>
              </w:rPr>
              <w:t xml:space="preserve">fuzzy SVM [19], RBF kernel with width κ</w:t>
            </w:r>
          </w:p>
        </w:tc>
        <w:tc>
          <w:tcPr/>
          <w:p>
            <w:pPr>
              <w:pStyle w:val="Compact"/>
              <w:spacing w:after="20" w:before="20" w:line="240" w:lineRule="auto"/>
            </w:pPr>
            <w:r>
              <w:rPr>
                <w:sz w:val="18"/>
              </w:rPr>
              <w:t xml:space="preserve">Platt-scaled decision value [28], scaling fitted on the validation partition</w:t>
            </w:r>
          </w:p>
        </w:tc>
        <w:tc>
          <w:tcPr/>
          <w:p>
            <w:pPr>
              <w:pStyle w:val="Compact"/>
              <w:spacing w:after="20" w:before="20" w:line="240" w:lineRule="auto"/>
            </w:pPr>
            <w:r>
              <w:rPr>
                <w:sz w:val="18"/>
              </w:rPr>
              <w:t xml:space="preserve">C, κ</w:t>
            </w:r>
          </w:p>
        </w:tc>
      </w:tr>
    </w:tbl>
    <w:p>
      <w:pPr>
        <w:pStyle w:val="FirstParagraph"/>
      </w:pPr>
      <w:r>
        <w:t xml:space="preserve">The fuzzy SVM assigns each training nodule a membership</w:t>
      </w:r>
      <w:r>
        <w:t xml:space="preserve"> </w:t>
      </w:r>
      <m:oMath>
        <m:sSub>
          <m:e>
            <m:r>
              <m:t>s</m:t>
            </m:r>
          </m:e>
          <m:sub>
            <m:r>
              <m:t>n</m:t>
            </m:r>
          </m:sub>
        </m:sSub>
      </m:oMath>
      <w:r>
        <w:t xml:space="preserve"> </w:t>
      </w:r>
      <w:r>
        <w:t xml:space="preserve">that lowers the penalty of atypical samples and solves</w:t>
      </w:r>
    </w:p>
    <w:p>
      <w:pPr>
        <w:pStyle w:val="BodyText"/>
      </w:pPr>
      <m:oMathPara>
        <m:oMathParaPr>
          <m:jc m:val="center"/>
        </m:oMathParaPr>
        <m:oMath>
          <m:limLow>
            <m:e>
              <m:r>
                <m:rPr>
                  <m:sty m:val="p"/>
                </m:rPr>
                <m:t>min</m:t>
              </m:r>
            </m:e>
            <m:lim>
              <m:r>
                <m:rPr>
                  <m:sty m:val="bi"/>
                </m:rPr>
                <m:t>w</m:t>
              </m:r>
              <m:r>
                <m:rPr>
                  <m:sty m:val="p"/>
                </m:rPr>
                <m:t>,</m:t>
              </m:r>
              <m:r>
                <m:t>b</m:t>
              </m:r>
              <m:r>
                <m:rPr>
                  <m:sty m:val="p"/>
                </m:rPr>
                <m:t>,</m:t>
              </m:r>
              <m:r>
                <m:rPr>
                  <m:sty m:val="bi"/>
                </m:rPr>
                <m:t>ξ</m:t>
              </m:r>
            </m:lim>
          </m:limLow>
          <m:r>
            <m:t> </m:t>
          </m:r>
          <m:f>
            <m:fPr>
              <m:type m:val="lin"/>
            </m:fPr>
            <m:num>
              <m:r>
                <m:t>1</m:t>
              </m:r>
            </m:num>
            <m:den>
              <m:r>
                <m:t>2</m:t>
              </m:r>
            </m:den>
          </m:f>
          <m:r>
            <m:rPr>
              <m:sty m:val="p"/>
            </m:rPr>
            <m:t>∥</m:t>
          </m:r>
          <m:r>
            <m:rPr>
              <m:sty m:val="bi"/>
            </m:rPr>
            <m:t>w</m:t>
          </m:r>
          <m:sSup>
            <m:e>
              <m:r>
                <m:rPr>
                  <m:sty m:val="p"/>
                </m:rPr>
                <m:t>∥</m:t>
              </m:r>
            </m:e>
            <m:sup>
              <m:r>
                <m:t>2</m:t>
              </m:r>
            </m:sup>
          </m:sSup>
          <m:r>
            <m:rPr>
              <m:sty m:val="p"/>
            </m:rPr>
            <m:t>+</m:t>
          </m:r>
          <m:r>
            <m:t>C</m:t>
          </m:r>
          <m:nary>
            <m:naryPr>
              <m:chr m:val="∑"/>
              <m:limLoc m:val="undOvr"/>
              <m:subHide m:val="off"/>
              <m:supHide m:val="off"/>
            </m:naryPr>
            <m:sub>
              <m:r>
                <m:t>n</m:t>
              </m:r>
              <m:r>
                <m:rPr>
                  <m:sty m:val="p"/>
                </m:rPr>
                <m:t>=</m:t>
              </m:r>
              <m:r>
                <m:t>1</m:t>
              </m:r>
            </m:sub>
            <m:sup>
              <m:r>
                <m:t>N</m:t>
              </m:r>
            </m:sup>
            <m:e>
              <m:sSub>
                <m:e>
                  <m:r>
                    <m:t>s</m:t>
                  </m:r>
                </m:e>
                <m:sub>
                  <m:r>
                    <m:t>n</m:t>
                  </m:r>
                </m:sub>
              </m:sSub>
            </m:e>
          </m:nary>
          <m:sSub>
            <m:e>
              <m:r>
                <m:t>ξ</m:t>
              </m:r>
            </m:e>
            <m:sub>
              <m:r>
                <m:t>n</m:t>
              </m:r>
            </m:sub>
          </m:sSub>
          <m:r>
            <m:t> </m:t>
          </m:r>
          <m:r>
            <m:rPr>
              <m:nor/>
            </m:rPr>
            <m:t>s.t.</m:t>
          </m:r>
          <m:r>
            <m:t> </m:t>
          </m:r>
          <m:sSubSup>
            <m:e>
              <m:r>
                <m:t>y</m:t>
              </m:r>
            </m:e>
            <m:sub>
              <m:r>
                <m:t>n</m:t>
              </m:r>
            </m:sub>
            <m:sup>
              <m:r>
                <m:rPr>
                  <m:sty m:val="p"/>
                </m:rPr>
                <m:t>′</m:t>
              </m:r>
            </m:sup>
          </m:sSubSup>
          <m:d>
            <m:dPr>
              <m:begChr m:val="("/>
              <m:sepChr m:val=""/>
              <m:endChr m:val=")"/>
              <m:grow/>
            </m:dPr>
            <m:e>
              <m:sSup>
                <m:e>
                  <m:r>
                    <m:rPr>
                      <m:sty m:val="bi"/>
                    </m:rPr>
                    <m:t>w</m:t>
                  </m:r>
                </m:e>
                <m:sup>
                  <m:r>
                    <m:rPr>
                      <m:sty m:val="p"/>
                    </m:rPr>
                    <m:t>⊤</m:t>
                  </m:r>
                </m:sup>
              </m:sSup>
              <m:r>
                <m:t>ϕ</m:t>
              </m:r>
              <m:r>
                <m:rPr>
                  <m:sty m:val="p"/>
                </m:rPr>
                <m:t>(</m:t>
              </m:r>
              <m:sSub>
                <m:e>
                  <m:r>
                    <m:rPr>
                      <m:sty m:val="bi"/>
                    </m:rPr>
                    <m:t>z</m:t>
                  </m:r>
                </m:e>
                <m:sub>
                  <m:r>
                    <m:t>n</m:t>
                  </m:r>
                </m:sub>
              </m:sSub>
              <m:r>
                <m:rPr>
                  <m:sty m:val="p"/>
                </m:rPr>
                <m:t>)</m:t>
              </m:r>
              <m:r>
                <m:rPr>
                  <m:sty m:val="p"/>
                </m:rPr>
                <m:t>+</m:t>
              </m:r>
              <m:r>
                <m:t>b</m:t>
              </m:r>
            </m:e>
          </m:d>
          <m:r>
            <m:rPr>
              <m:sty m:val="p"/>
            </m:rPr>
            <m:t>≥</m:t>
          </m:r>
          <m:r>
            <m:t>1</m:t>
          </m:r>
          <m:r>
            <m:rPr>
              <m:sty m:val="p"/>
            </m:rPr>
            <m:t>−</m:t>
          </m:r>
          <m:sSub>
            <m:e>
              <m:r>
                <m:t>ξ</m:t>
              </m:r>
            </m:e>
            <m:sub>
              <m:r>
                <m:t>n</m:t>
              </m:r>
            </m:sub>
          </m:sSub>
          <m:r>
            <m:rPr>
              <m:sty m:val="p"/>
            </m:rPr>
            <m:t>,</m:t>
          </m:r>
          <m:r>
            <m:t> </m:t>
          </m:r>
          <m:r>
            <m:t> </m:t>
          </m:r>
          <m:sSub>
            <m:e>
              <m:r>
                <m:t>ξ</m:t>
              </m:r>
            </m:e>
            <m:sub>
              <m:r>
                <m:t>n</m:t>
              </m:r>
            </m:sub>
          </m:sSub>
          <m:r>
            <m:rPr>
              <m:sty m:val="p"/>
            </m:rPr>
            <m:t>≥</m:t>
          </m:r>
          <m:r>
            <m:t>0</m:t>
          </m:r>
          <m:r>
            <m:rPr>
              <m:sty m:val="p"/>
            </m:rPr>
            <m:t>,</m:t>
          </m:r>
          <m:r>
            <m:t> </m:t>
          </m:r>
          <m:r>
            <m:t> </m:t>
          </m:r>
          <m:sSubSup>
            <m:e>
              <m:r>
                <m:t>y</m:t>
              </m:r>
            </m:e>
            <m:sub>
              <m:r>
                <m:t>n</m:t>
              </m:r>
            </m:sub>
            <m:sup>
              <m:r>
                <m:rPr>
                  <m:sty m:val="p"/>
                </m:rPr>
                <m:t>′</m:t>
              </m:r>
            </m:sup>
          </m:sSubSup>
          <m:r>
            <m:rPr>
              <m:sty m:val="p"/>
            </m:rPr>
            <m:t>=</m:t>
          </m:r>
          <m:r>
            <m:t>2</m:t>
          </m:r>
          <m:sSub>
            <m:e>
              <m:r>
                <m:t>y</m:t>
              </m:r>
            </m:e>
            <m:sub>
              <m:r>
                <m:t>n</m:t>
              </m:r>
            </m:sub>
          </m:sSub>
          <m:r>
            <m:rPr>
              <m:sty m:val="p"/>
            </m:rPr>
            <m:t>−</m:t>
          </m:r>
          <m:r>
            <m:t>1</m:t>
          </m:r>
          <m:r>
            <m:t> </m:t>
          </m:r>
          <m:r>
            <m:t> </m:t>
          </m:r>
          <m:r>
            <m:rPr>
              <m:nor/>
            </m:rPr>
            <m:t>(12)</m:t>
          </m:r>
        </m:oMath>
      </m:oMathPara>
    </w:p>
    <w:p>
      <w:pPr>
        <w:pStyle w:val="FirstParagraph"/>
      </w:pPr>
      <w:r>
        <w:t xml:space="preserve">with the sample membership defined by the distance to the class centroid</w:t>
      </w:r>
      <w:r>
        <w:t xml:space="preserve"> </w:t>
      </w:r>
      <m:oMath>
        <m:sSub>
          <m:e>
            <m:acc>
              <m:accPr>
                <m:chr m:val="‾"/>
              </m:accPr>
              <m:e>
                <m:r>
                  <m:t>z</m:t>
                </m:r>
              </m:e>
            </m:acc>
          </m:e>
          <m:sub>
            <m:r>
              <m:t>y</m:t>
            </m:r>
          </m:sub>
        </m:sSub>
      </m:oMath>
      <w:r>
        <w:t xml:space="preserve"> </w:t>
      </w:r>
      <w:r>
        <w:t xml:space="preserve">[19]:</w:t>
      </w:r>
    </w:p>
    <w:p>
      <w:pPr>
        <w:pStyle w:val="BodyText"/>
      </w:pPr>
      <m:oMathPara>
        <m:oMathParaPr>
          <m:jc m:val="center"/>
        </m:oMathParaPr>
        <m:oMath>
          <m:sSub>
            <m:e>
              <m:r>
                <m:t>s</m:t>
              </m:r>
            </m:e>
            <m:sub>
              <m:r>
                <m:t>n</m:t>
              </m:r>
            </m:sub>
          </m:sSub>
          <m:r>
            <m:rPr>
              <m:sty m:val="p"/>
            </m:rPr>
            <m:t>=</m:t>
          </m:r>
          <m:r>
            <m:t>1</m:t>
          </m:r>
          <m:r>
            <m:rPr>
              <m:sty m:val="p"/>
            </m:rPr>
            <m:t>−</m:t>
          </m:r>
          <m:f>
            <m:fPr>
              <m:type m:val="bar"/>
            </m:fPr>
            <m:num>
              <m:r>
                <m:rPr>
                  <m:sty m:val="p"/>
                </m:rPr>
                <m:t>∥</m:t>
              </m:r>
              <m:sSub>
                <m:e>
                  <m:r>
                    <m:rPr>
                      <m:sty m:val="bi"/>
                    </m:rPr>
                    <m:t>z</m:t>
                  </m:r>
                </m:e>
                <m:sub>
                  <m:r>
                    <m:t>n</m:t>
                  </m:r>
                </m:sub>
              </m:sSub>
              <m:r>
                <m:rPr>
                  <m:sty m:val="p"/>
                </m:rPr>
                <m:t>−</m:t>
              </m:r>
              <m:sSub>
                <m:e>
                  <m:acc>
                    <m:accPr>
                      <m:chr m:val="‾"/>
                    </m:accPr>
                    <m:e>
                      <m:r>
                        <m:rPr>
                          <m:sty m:val="bi"/>
                        </m:rPr>
                        <m:t>z</m:t>
                      </m:r>
                    </m:e>
                  </m:acc>
                </m:e>
                <m:sub>
                  <m:sSub>
                    <m:e>
                      <m:r>
                        <m:t>y</m:t>
                      </m:r>
                    </m:e>
                    <m:sub>
                      <m:r>
                        <m:t>n</m:t>
                      </m:r>
                    </m:sub>
                  </m:sSub>
                </m:sub>
              </m:sSub>
              <m:r>
                <m:rPr>
                  <m:sty m:val="p"/>
                </m:rPr>
                <m:t>∥</m:t>
              </m:r>
            </m:num>
            <m:den>
              <m:limLow>
                <m:e>
                  <m:r>
                    <m:rPr>
                      <m:sty m:val="p"/>
                    </m:rPr>
                    <m:t>max</m:t>
                  </m:r>
                </m:e>
                <m:lim>
                  <m:r>
                    <m:t>m</m:t>
                  </m:r>
                  <m:r>
                    <m:rPr>
                      <m:sty m:val="p"/>
                    </m:rPr>
                    <m:t>:</m:t>
                  </m:r>
                  <m:r>
                    <m:t> </m:t>
                  </m:r>
                  <m:sSub>
                    <m:e>
                      <m:r>
                        <m:t>y</m:t>
                      </m:r>
                    </m:e>
                    <m:sub>
                      <m:r>
                        <m:t>m</m:t>
                      </m:r>
                    </m:sub>
                  </m:sSub>
                  <m:r>
                    <m:rPr>
                      <m:sty m:val="p"/>
                    </m:rPr>
                    <m:t>=</m:t>
                  </m:r>
                  <m:sSub>
                    <m:e>
                      <m:r>
                        <m:t>y</m:t>
                      </m:r>
                    </m:e>
                    <m:sub>
                      <m:r>
                        <m:t>n</m:t>
                      </m:r>
                    </m:sub>
                  </m:sSub>
                </m:lim>
              </m:limLow>
              <m:r>
                <m:rPr>
                  <m:sty m:val="p"/>
                </m:rPr>
                <m:t>∥</m:t>
              </m:r>
              <m:sSub>
                <m:e>
                  <m:r>
                    <m:rPr>
                      <m:sty m:val="bi"/>
                    </m:rPr>
                    <m:t>z</m:t>
                  </m:r>
                </m:e>
                <m:sub>
                  <m:r>
                    <m:t>m</m:t>
                  </m:r>
                </m:sub>
              </m:sSub>
              <m:r>
                <m:rPr>
                  <m:sty m:val="p"/>
                </m:rPr>
                <m:t>−</m:t>
              </m:r>
              <m:sSub>
                <m:e>
                  <m:acc>
                    <m:accPr>
                      <m:chr m:val="‾"/>
                    </m:accPr>
                    <m:e>
                      <m:r>
                        <m:rPr>
                          <m:sty m:val="bi"/>
                        </m:rPr>
                        <m:t>z</m:t>
                      </m:r>
                    </m:e>
                  </m:acc>
                </m:e>
                <m:sub>
                  <m:sSub>
                    <m:e>
                      <m:r>
                        <m:t>y</m:t>
                      </m:r>
                    </m:e>
                    <m:sub>
                      <m:r>
                        <m:t>n</m:t>
                      </m:r>
                    </m:sub>
                  </m:sSub>
                </m:sub>
              </m:sSub>
              <m:r>
                <m:rPr>
                  <m:sty m:val="p"/>
                </m:rPr>
                <m:t>∥</m:t>
              </m:r>
              <m:r>
                <m:rPr>
                  <m:sty m:val="p"/>
                </m:rPr>
                <m:t>+</m:t>
              </m:r>
              <m:r>
                <m:t>δ</m:t>
              </m:r>
            </m:den>
          </m:f>
          <m:r>
            <m:rPr>
              <m:sty m:val="p"/>
            </m:rPr>
            <m:t>,</m:t>
          </m:r>
          <m:r>
            <m:t>  </m:t>
          </m:r>
          <m:r>
            <m:t>δ</m:t>
          </m:r>
          <m:r>
            <m:rPr>
              <m:sty m:val="p"/>
            </m:rPr>
            <m:t>=</m:t>
          </m:r>
          <m:sSup>
            <m:e>
              <m:r>
                <m:t>10</m:t>
              </m:r>
            </m:e>
            <m:sup>
              <m:r>
                <m:rPr>
                  <m:sty m:val="p"/>
                </m:rPr>
                <m:t>−</m:t>
              </m:r>
              <m:r>
                <m:t>3</m:t>
              </m:r>
            </m:sup>
          </m:sSup>
          <m:r>
            <m:t> </m:t>
          </m:r>
          <m:r>
            <m:t> </m:t>
          </m:r>
          <m:r>
            <m:rPr>
              <m:nor/>
            </m:rPr>
            <m:t>(13)</m:t>
          </m:r>
        </m:oMath>
      </m:oMathPara>
    </w:p>
    <w:p>
      <w:pPr>
        <w:pStyle w:val="FirstParagraph"/>
      </w:pPr>
      <w:r>
        <w:t xml:space="preserve">so that</w:t>
      </w:r>
      <w:r>
        <w:t xml:space="preserve"> </w:t>
      </w:r>
      <m:oMath>
        <m:sSub>
          <m:e>
            <m:r>
              <m:t>s</m:t>
            </m:r>
          </m:e>
          <m:sub>
            <m:r>
              <m:t>n</m:t>
            </m:r>
          </m:sub>
        </m:sSub>
      </m:oMath>
      <w:r>
        <w:t xml:space="preserve"> </w:t>
      </w:r>
      <w:r>
        <w:t xml:space="preserve">lies in (0, 1]. The sample membership</w:t>
      </w:r>
      <w:r>
        <w:t xml:space="preserve"> </w:t>
      </w:r>
      <m:oMath>
        <m:sSub>
          <m:e>
            <m:r>
              <m:t>s</m:t>
            </m:r>
          </m:e>
          <m:sub>
            <m:r>
              <m:t>n</m:t>
            </m:r>
          </m:sub>
        </m:sSub>
      </m:oMath>
      <w:r>
        <w:t xml:space="preserve"> </w:t>
      </w:r>
      <w:r>
        <w:t xml:space="preserve">weights nodules inside the SVM loss; the pixel membership μ(p) of Eq. (4) weights pixels inside the image. They are distinct quantities.</w:t>
      </w:r>
    </w:p>
    <w:p>
      <w:pPr>
        <w:pStyle w:val="Heading1"/>
      </w:pPr>
      <w:bookmarkStart w:id="23" w:name="_f8271651735f12cdc6e941c3e2fc8b4104db42e"/>
      <w:r>
        <w:t xml:space="preserve">3.8 Adaptive ensemble</w:t>
      </w:r>
      <w:bookmarkEnd w:id="23"/>
    </w:p>
    <w:p>
      <w:pPr>
        <w:pStyle w:val="FirstParagraph"/>
      </w:pPr>
      <w:r>
        <w:t xml:space="preserve">The ensemble probability is a convex combination whose weights depend on each learner’s validation log-loss</w:t>
      </w:r>
      <w:r>
        <w:t xml:space="preserve"> </w:t>
      </w:r>
      <m:oMath>
        <m:sSubSup>
          <m:e>
            <m:r>
              <m:t>L</m:t>
            </m:r>
          </m:e>
          <m:sub>
            <m:r>
              <m:t>k</m:t>
            </m:r>
          </m:sub>
          <m:sup>
            <m:r>
              <m:rPr>
                <m:sty m:val="p"/>
              </m:rPr>
              <m:t>v</m:t>
            </m:r>
            <m:r>
              <m:rPr>
                <m:sty m:val="p"/>
              </m:rPr>
              <m:t>a</m:t>
            </m:r>
            <m:r>
              <m:rPr>
                <m:sty m:val="p"/>
              </m:rPr>
              <m:t>l</m:t>
            </m:r>
          </m:sup>
        </m:sSubSup>
      </m:oMath>
      <w:r>
        <w:t xml:space="preserve">, so that a weak learner cannot dominate:</w:t>
      </w:r>
    </w:p>
    <w:p>
      <w:pPr>
        <w:pStyle w:val="BodyText"/>
      </w:pPr>
      <m:oMathPara>
        <m:oMathParaPr>
          <m:jc m:val="center"/>
        </m:oMathParaPr>
        <m:oMath>
          <m:sSub>
            <m:e>
              <m:r>
                <m:t>p</m:t>
              </m:r>
            </m:e>
            <m:sub>
              <m:r>
                <m:rPr>
                  <m:nor/>
                </m:rPr>
                <m:t>ens</m:t>
              </m:r>
            </m:sub>
          </m:sSub>
          <m:r>
            <m:rPr>
              <m:sty m:val="p"/>
            </m:rPr>
            <m:t>=</m:t>
          </m:r>
          <m:nary>
            <m:naryPr>
              <m:chr m:val="∑"/>
              <m:limLoc m:val="undOvr"/>
              <m:subHide m:val="off"/>
              <m:supHide m:val="on"/>
            </m:naryPr>
            <m:sub>
              <m:r>
                <m:t>k</m:t>
              </m:r>
            </m:sub>
            <m:sup>
              <m:r>
                <m:t>​</m:t>
              </m:r>
            </m:sup>
            <m:e>
              <m:sSub>
                <m:e>
                  <m:r>
                    <m:t>ω</m:t>
                  </m:r>
                </m:e>
                <m:sub>
                  <m:r>
                    <m:t>k</m:t>
                  </m:r>
                </m:sub>
              </m:sSub>
            </m:e>
          </m:nary>
          <m:r>
            <m:t> </m:t>
          </m:r>
          <m:sSub>
            <m:e>
              <m:r>
                <m:t>p</m:t>
              </m:r>
            </m:e>
            <m:sub>
              <m:r>
                <m:t>k</m:t>
              </m:r>
            </m:sub>
          </m:sSub>
          <m:r>
            <m:rPr>
              <m:sty m:val="p"/>
            </m:rPr>
            <m:t>,</m:t>
          </m:r>
          <m:r>
            <m:t>  </m:t>
          </m:r>
          <m:sSub>
            <m:e>
              <m:r>
                <m:t>ω</m:t>
              </m:r>
            </m:e>
            <m:sub>
              <m:r>
                <m:t>k</m:t>
              </m:r>
            </m:sub>
          </m:sSub>
          <m:r>
            <m:rPr>
              <m:sty m:val="p"/>
            </m:rPr>
            <m:t>=</m:t>
          </m:r>
          <m:f>
            <m:fPr>
              <m:type m:val="bar"/>
            </m:fPr>
            <m:num>
              <m:r>
                <m:rPr>
                  <m:sty m:val="p"/>
                </m:rPr>
                <m:t>exp</m:t>
              </m:r>
              <m:r>
                <m:rPr>
                  <m:sty m:val="p"/>
                </m:rPr>
                <m:t>(</m:t>
              </m:r>
              <m:r>
                <m:rPr>
                  <m:sty m:val="p"/>
                </m:rPr>
                <m:t>−</m:t>
              </m:r>
              <m:sSubSup>
                <m:e>
                  <m:r>
                    <m:t>L</m:t>
                  </m:r>
                </m:e>
                <m:sub>
                  <m:r>
                    <m:t>k</m:t>
                  </m:r>
                </m:sub>
                <m:sup>
                  <m:r>
                    <m:rPr>
                      <m:nor/>
                    </m:rPr>
                    <m:t>val</m:t>
                  </m:r>
                </m:sup>
              </m:sSubSup>
              <m:r>
                <m:rPr>
                  <m:sty m:val="p"/>
                </m:rPr>
                <m:t>/</m:t>
              </m:r>
              <m:r>
                <m:t>τ</m:t>
              </m:r>
              <m:r>
                <m:rPr>
                  <m:sty m:val="p"/>
                </m:rPr>
                <m:t>)</m:t>
              </m:r>
            </m:num>
            <m:den>
              <m:nary>
                <m:naryPr>
                  <m:chr m:val="∑"/>
                  <m:limLoc m:val="undOvr"/>
                  <m:subHide m:val="off"/>
                  <m:supHide m:val="on"/>
                </m:naryPr>
                <m:sub>
                  <m:r>
                    <m:t>j</m:t>
                  </m:r>
                </m:sub>
                <m:sup>
                  <m:r>
                    <m:t>​</m:t>
                  </m:r>
                </m:sup>
                <m:e>
                  <m:r>
                    <m:rPr>
                      <m:sty m:val="p"/>
                    </m:rPr>
                    <m:t>exp</m:t>
                  </m:r>
                </m:e>
              </m:nary>
              <m:r>
                <m:rPr>
                  <m:sty m:val="p"/>
                </m:rPr>
                <m:t>(</m:t>
              </m:r>
              <m:r>
                <m:rPr>
                  <m:sty m:val="p"/>
                </m:rPr>
                <m:t>−</m:t>
              </m:r>
              <m:sSubSup>
                <m:e>
                  <m:r>
                    <m:t>L</m:t>
                  </m:r>
                </m:e>
                <m:sub>
                  <m:r>
                    <m:t>j</m:t>
                  </m:r>
                </m:sub>
                <m:sup>
                  <m:r>
                    <m:rPr>
                      <m:nor/>
                    </m:rPr>
                    <m:t>val</m:t>
                  </m:r>
                </m:sup>
              </m:sSubSup>
              <m:r>
                <m:rPr>
                  <m:sty m:val="p"/>
                </m:rPr>
                <m:t>/</m:t>
              </m:r>
              <m:r>
                <m:t>τ</m:t>
              </m:r>
              <m:r>
                <m:rPr>
                  <m:sty m:val="p"/>
                </m:rPr>
                <m:t>)</m:t>
              </m:r>
            </m:den>
          </m:f>
          <m:r>
            <m:t> </m:t>
          </m:r>
          <m:r>
            <m:t> </m:t>
          </m:r>
          <m:r>
            <m:rPr>
              <m:nor/>
            </m:rPr>
            <m:t>(14)</m:t>
          </m:r>
        </m:oMath>
      </m:oMathPara>
    </w:p>
    <w:p>
      <w:pPr>
        <w:pStyle w:val="FirstParagraph"/>
      </w:pPr>
      <w:r>
        <w:t xml:space="preserve">The temperature τ &gt; 0 was selected on the validation partition over {0.05, 0.1, 0.2, 0.5, 1}; τ → ∞ gives equal weights and τ → 0 selects the single best learner. Weights were frozen before the test partition was scored.</w:t>
      </w:r>
    </w:p>
    <w:p>
      <w:pPr>
        <w:pStyle w:val="Heading1"/>
      </w:pPr>
      <w:bookmarkStart w:id="24" w:name="_b381611cae36b813c8a6b490d8f4b7b25621682"/>
      <w:r>
        <w:t xml:space="preserve">3.9 Regional epidemiological prior</w:t>
      </w:r>
      <w:bookmarkEnd w:id="24"/>
    </w:p>
    <w:p>
      <w:pPr>
        <w:pStyle w:val="FirstParagraph"/>
      </w:pPr>
      <w:r>
        <w:t xml:space="preserve">Regional prevalence enters as a Bayesian prior-shift correction [29]:</w:t>
      </w:r>
    </w:p>
    <w:p>
      <w:pPr>
        <w:pStyle w:val="BodyText"/>
      </w:pPr>
      <m:oMathPara>
        <m:oMathParaPr>
          <m:jc m:val="center"/>
        </m:oMathParaPr>
        <m:oMath>
          <m:sSub>
            <m:e>
              <m:r>
                <m:rPr>
                  <m:sty m:val="p"/>
                </m:rPr>
                <m:t>Δ</m:t>
              </m:r>
            </m:e>
            <m:sub>
              <m:r>
                <m:rPr>
                  <m:nor/>
                </m:rPr>
                <m:t>reg</m:t>
              </m:r>
            </m:sub>
          </m:sSub>
          <m:r>
            <m:rPr>
              <m:sty m:val="p"/>
            </m:rPr>
            <m:t>=</m:t>
          </m:r>
          <m:r>
            <m:rPr>
              <m:sty m:val="p"/>
            </m:rPr>
            <m:t>logit</m:t>
          </m:r>
          <m:sSub>
            <m:e>
              <m:r>
                <m:t>π</m:t>
              </m:r>
            </m:e>
            <m:sub>
              <m:r>
                <m:rPr>
                  <m:nor/>
                </m:rPr>
                <m:t>reg</m:t>
              </m:r>
            </m:sub>
          </m:sSub>
          <m:r>
            <m:rPr>
              <m:sty m:val="p"/>
            </m:rPr>
            <m:t>−</m:t>
          </m:r>
          <m:r>
            <m:rPr>
              <m:sty m:val="p"/>
            </m:rPr>
            <m:t>logit</m:t>
          </m:r>
          <m:sSub>
            <m:e>
              <m:r>
                <m:t>π</m:t>
              </m:r>
            </m:e>
            <m:sub>
              <m:r>
                <m:rPr>
                  <m:nor/>
                </m:rPr>
                <m:t>train</m:t>
              </m:r>
            </m:sub>
          </m:sSub>
          <m:r>
            <m:t> </m:t>
          </m:r>
          <m:r>
            <m:t> </m:t>
          </m:r>
          <m:r>
            <m:rPr>
              <m:nor/>
            </m:rPr>
            <m:t>(15)</m:t>
          </m:r>
        </m:oMath>
      </m:oMathPara>
    </w:p>
    <w:p>
      <w:pPr>
        <w:pStyle w:val="FirstParagraph"/>
      </w:pPr>
      <w:r>
        <w:t xml:space="preserve">where</w:t>
      </w:r>
      <w:r>
        <w:t xml:space="preserve"> </w:t>
      </w:r>
      <m:oMath>
        <m:sSub>
          <m:e>
            <m:r>
              <m:t>π</m:t>
            </m:r>
          </m:e>
          <m:sub>
            <m:r>
              <m:t>t</m:t>
            </m:r>
            <m:r>
              <m:t>r</m:t>
            </m:r>
            <m:r>
              <m:t>a</m:t>
            </m:r>
            <m:r>
              <m:t>i</m:t>
            </m:r>
            <m:r>
              <m:t>n</m:t>
            </m:r>
          </m:sub>
        </m:sSub>
      </m:oMath>
      <w:r>
        <w:t xml:space="preserve"> </w:t>
      </w:r>
      <w:r>
        <w:t xml:space="preserve">is the malignant fraction of the training partition and</w:t>
      </w:r>
      <w:r>
        <w:t xml:space="preserve"> </w:t>
      </w:r>
      <m:oMath>
        <m:sSub>
          <m:e>
            <m:r>
              <m:t>π</m:t>
            </m:r>
          </m:e>
          <m:sub>
            <m:r>
              <m:t>r</m:t>
            </m:r>
            <m:r>
              <m:t>e</m:t>
            </m:r>
            <m:r>
              <m:t>g</m:t>
            </m:r>
          </m:sub>
        </m:sSub>
      </m:oMath>
      <w:r>
        <w:t xml:space="preserve"> </w:t>
      </w:r>
      <w:r>
        <w:t xml:space="preserve">the malignancy prevalence among biopsied nodules in the deployment region. When the deployment region equals the training region,</w:t>
      </w:r>
      <w:r>
        <w:t xml:space="preserve"> </w:t>
      </w:r>
      <m:oMath>
        <m:sSub>
          <m:e>
            <m:r>
              <m:rPr>
                <m:sty m:val="p"/>
              </m:rPr>
              <m:t>Δ</m:t>
            </m:r>
          </m:e>
          <m:sub>
            <m:r>
              <m:t>r</m:t>
            </m:r>
            <m:r>
              <m:t>e</m:t>
            </m:r>
            <m:r>
              <m:t>g</m:t>
            </m:r>
          </m:sub>
        </m:sSub>
      </m:oMath>
      <w:r>
        <w:t xml:space="preserve"> </w:t>
      </w:r>
      <w:r>
        <w:t xml:space="preserve">= 0, which is the case throughout this study because TN3K carries no regional information; the term is retained in the model because it is the mechanism by which the framework is moved to a population with a different prevalence without retraining, and Section 5.8 shows why that matters even within one dataset.</w:t>
      </w:r>
    </w:p>
    <w:p>
      <w:pPr>
        <w:pStyle w:val="Heading1"/>
      </w:pPr>
      <w:bookmarkStart w:id="25" w:name="_4887a6a5117f3a442b9e4434dc4a48b6225dec9"/>
      <w:r>
        <w:t xml:space="preserve">3.10 Decision rule</w:t>
      </w:r>
      <w:bookmarkEnd w:id="25"/>
    </w:p>
    <w:p>
      <w:pPr>
        <w:pStyle w:val="FirstParagraph"/>
      </w:pPr>
      <w:r>
        <w:t xml:space="preserve">The final probability and predicted label are</w:t>
      </w:r>
    </w:p>
    <w:p>
      <w:pPr>
        <w:pStyle w:val="BodyText"/>
      </w:pPr>
      <m:oMathPara>
        <m:oMathParaPr>
          <m:jc m:val="center"/>
        </m:oMathParaPr>
        <m:oMath>
          <m:sSub>
            <m:e>
              <m:r>
                <m:t>p</m:t>
              </m:r>
            </m:e>
            <m:sub>
              <m:r>
                <m:rPr>
                  <m:nor/>
                </m:rPr>
                <m:t>final</m:t>
              </m:r>
            </m:sub>
          </m:sSub>
          <m:r>
            <m:rPr>
              <m:sty m:val="p"/>
            </m:rPr>
            <m:t>=</m:t>
          </m:r>
          <m:r>
            <m:t>σ</m:t>
          </m:r>
          <m:r>
            <m:t>​</m:t>
          </m:r>
          <m:d>
            <m:dPr>
              <m:begChr m:val="("/>
              <m:sepChr m:val=""/>
              <m:endChr m:val=")"/>
              <m:grow/>
            </m:dPr>
            <m:e>
              <m:r>
                <m:rPr>
                  <m:sty m:val="p"/>
                </m:rPr>
                <m:t>logit</m:t>
              </m:r>
              <m:sSub>
                <m:e>
                  <m:r>
                    <m:t>p</m:t>
                  </m:r>
                </m:e>
                <m:sub>
                  <m:r>
                    <m:rPr>
                      <m:nor/>
                    </m:rPr>
                    <m:t>ens</m:t>
                  </m:r>
                </m:sub>
              </m:sSub>
              <m:r>
                <m:rPr>
                  <m:sty m:val="p"/>
                </m:rPr>
                <m:t>+</m:t>
              </m:r>
              <m:sSub>
                <m:e>
                  <m:r>
                    <m:rPr>
                      <m:sty m:val="p"/>
                    </m:rPr>
                    <m:t>Δ</m:t>
                  </m:r>
                </m:e>
                <m:sub>
                  <m:r>
                    <m:rPr>
                      <m:nor/>
                    </m:rPr>
                    <m:t>reg</m:t>
                  </m:r>
                </m:sub>
              </m:sSub>
            </m:e>
          </m:d>
          <m:r>
            <m:rPr>
              <m:sty m:val="p"/>
            </m:rPr>
            <m:t>,</m:t>
          </m:r>
          <m:r>
            <m:t>  </m:t>
          </m:r>
          <m:acc>
            <m:accPr>
              <m:chr m:val="̂"/>
            </m:accPr>
            <m:e>
              <m:r>
                <m:t>y</m:t>
              </m:r>
            </m:e>
          </m:acc>
          <m:r>
            <m:rPr>
              <m:sty m:val="p"/>
            </m:rPr>
            <m:t>=</m:t>
          </m:r>
          <m:r>
            <m:rPr>
              <m:scr m:val="double-struck"/>
              <m:sty m:val="p"/>
            </m:rPr>
            <m:t>1</m:t>
          </m:r>
          <m:d>
            <m:dPr>
              <m:begChr m:val="["/>
              <m:sepChr m:val=""/>
              <m:endChr m:val="]"/>
              <m:grow/>
            </m:dPr>
            <m:e>
              <m:sSub>
                <m:e>
                  <m:r>
                    <m:t>p</m:t>
                  </m:r>
                </m:e>
                <m:sub>
                  <m:r>
                    <m:rPr>
                      <m:nor/>
                    </m:rPr>
                    <m:t>final</m:t>
                  </m:r>
                </m:sub>
              </m:sSub>
              <m:r>
                <m:rPr>
                  <m:sty m:val="p"/>
                </m:rPr>
                <m:t>≥</m:t>
              </m:r>
              <m:sSup>
                <m:e>
                  <m:r>
                    <m:t>t</m:t>
                  </m:r>
                </m:e>
                <m:sup>
                  <m:r>
                    <m:rPr>
                      <m:sty m:val="p"/>
                    </m:rPr>
                    <m:t>*</m:t>
                  </m:r>
                </m:sup>
              </m:sSup>
            </m:e>
          </m:d>
          <m:r>
            <m:t> </m:t>
          </m:r>
          <m:r>
            <m:t> </m:t>
          </m:r>
          <m:r>
            <m:rPr>
              <m:nor/>
            </m:rPr>
            <m:t>(16)</m:t>
          </m:r>
        </m:oMath>
      </m:oMathPara>
    </w:p>
    <w:p>
      <w:pPr>
        <w:pStyle w:val="FirstParagraph"/>
      </w:pPr>
      <w:r>
        <w:t xml:space="preserve">The threshold</w:t>
      </w:r>
      <w:r>
        <w:t xml:space="preserve"> </w:t>
      </w:r>
      <m:oMath>
        <m:sSup>
          <m:e>
            <m:r>
              <m:t>t</m:t>
            </m:r>
          </m:e>
          <m:sup>
            <m:r>
              <m:rPr>
                <m:sty m:val="p"/>
              </m:rPr>
              <m:t>*</m:t>
            </m:r>
          </m:sup>
        </m:sSup>
      </m:oMath>
      <w:r>
        <w:t xml:space="preserve"> </w:t>
      </w:r>
      <w:r>
        <w:t xml:space="preserve">was fixed on the validation partition before testing by the pre-specified rule sensitivity ≥ 0.95 with maximal specificity; the Youden-optimal threshold is reported alongside. Equations (1)–(16) define TAMES AI completely; every symbol is listed in Section 3.3.</w:t>
      </w:r>
    </w:p>
    <w:p>
      <w:pPr>
        <w:pStyle w:val="Heading1"/>
      </w:pPr>
      <w:bookmarkStart w:id="26" w:name="_explainability"/>
      <w:r>
        <w:t xml:space="preserve">3.11 Explainability</w:t>
      </w:r>
      <w:bookmarkEnd w:id="26"/>
    </w:p>
    <w:p>
      <w:pPr>
        <w:pStyle w:val="FirstParagraph"/>
      </w:pPr>
      <w:r>
        <w:t xml:space="preserve">Feature attributions were computed in probability space with SHAP [8]: TreeSHAP for RF and XGB, KernelSHAP with a 100-nodule training background for FSVM and the DL head. Because</w:t>
      </w:r>
      <w:r>
        <w:t xml:space="preserve"> </w:t>
      </w:r>
      <m:oMath>
        <m:sSub>
          <m:e>
            <m:r>
              <m:t>p</m:t>
            </m:r>
          </m:e>
          <m:sub>
            <m:r>
              <m:t>e</m:t>
            </m:r>
            <m:r>
              <m:t>n</m:t>
            </m:r>
            <m:r>
              <m:t>s</m:t>
            </m:r>
          </m:sub>
        </m:sSub>
      </m:oMath>
      <w:r>
        <w:t xml:space="preserve"> </w:t>
      </w:r>
      <w:r>
        <w:t xml:space="preserve">in Eq. (14) is linear in the learner outputs, the ensemble attribution of feature j is the weighted sum of the learner attributions,</w:t>
      </w:r>
      <w:r>
        <w:t xml:space="preserve"> </w:t>
      </w:r>
      <m:oMath>
        <m:sSubSup>
          <m:e>
            <m:r>
              <m:t>φ</m:t>
            </m:r>
          </m:e>
          <m:sub>
            <m:r>
              <m:t>j</m:t>
            </m:r>
          </m:sub>
          <m:sup>
            <m:r>
              <m:t>e</m:t>
            </m:r>
            <m:r>
              <m:t>n</m:t>
            </m:r>
            <m:r>
              <m:t>s</m:t>
            </m:r>
          </m:sup>
        </m:sSubSup>
      </m:oMath>
      <w:r>
        <w:t xml:space="preserve"> </w:t>
      </w:r>
      <w:r>
        <w:t xml:space="preserve">=</w:t>
      </w:r>
      <w:r>
        <w:t xml:space="preserve"> </w:t>
      </w:r>
      <m:oMath>
        <m:sSub>
          <m:e>
            <m:r>
              <m:rPr>
                <m:sty m:val="p"/>
              </m:rPr>
              <m:t>Σ</m:t>
            </m:r>
          </m:e>
          <m:sub>
            <m:r>
              <m:t>k</m:t>
            </m:r>
          </m:sub>
        </m:sSub>
      </m:oMath>
      <w:r>
        <w:t xml:space="preserve"> </w:t>
      </w:r>
      <m:oMath>
        <m:sSub>
          <m:e>
            <m:r>
              <m:t>ω</m:t>
            </m:r>
          </m:e>
          <m:sub>
            <m:r>
              <m:t>k</m:t>
            </m:r>
          </m:sub>
        </m:sSub>
      </m:oMath>
      <w:r>
        <w:t xml:space="preserve"> </w:t>
      </w:r>
      <m:oMath>
        <m:sSubSup>
          <m:e>
            <m:r>
              <m:t>φ</m:t>
            </m:r>
          </m:e>
          <m:sub>
            <m:r>
              <m:t>j</m:t>
            </m:r>
          </m:sub>
          <m:sup>
            <m:r>
              <m:t>k</m:t>
            </m:r>
          </m:sup>
        </m:sSubSup>
      </m:oMath>
      <w:r>
        <w:t xml:space="preserve">, with no further approximation. Image evidence is visualized with Grad-CAM [9] on the last convolutional block of f_θ.</w:t>
      </w:r>
    </w:p>
    <w:p>
      <w:pPr>
        <w:pStyle w:val="BodyText"/>
      </w:pPr>
      <w:r>
        <w:t xml:space="preserve">Explanation quality was measured rather than assumed: Grad-CAM faithfulness by deletion and insertion curves [30] on test images against a random-saliency control, and SHAP stability by the frequency with which each of the ten most important features stays in the top ten across 2,000 bootstrap resamples of the explained images. No reader study was performed.</w:t>
      </w:r>
    </w:p>
    <w:p>
      <w:pPr>
        <w:pStyle w:val="Heading1"/>
      </w:pPr>
      <w:bookmarkStart w:id="27" w:name="_01d646b452b277873d24be55d35f952a9230162"/>
      <w:r>
        <w:t xml:space="preserve">3.12 Evaluation and statistical analysis</w:t>
      </w:r>
      <w:bookmarkEnd w:id="27"/>
    </w:p>
    <w:p>
      <w:pPr>
        <w:pStyle w:val="FirstParagraph"/>
      </w:pPr>
      <w:r>
        <w:t xml:space="preserve">The analysis plan below was fixed before the test partition was scored and is implemented verbatim in the released code. All confidence intervals are 95 % intervals from 2,000 bootstrap resamples of the test images; predictions of the five seeds are averaged before the metrics are computed, for every model alike, and the seed-to-seed standard deviation of the AUC is reported alongside. This seed average is itself a small ensemble and raises the AUC of every model above its single-seed value; the per-seed values are given in Supplementary Table S3.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spacing w:after="20" w:before="20" w:line="240" w:lineRule="auto"/>
            </w:pPr>
            <w:r>
              <w:rPr>
                <w:sz w:val="18"/>
              </w:rPr>
              <w:t xml:space="preserve">Task</w:t>
            </w:r>
          </w:p>
        </w:tc>
        <w:tc>
          <w:tcPr/>
          <w:p>
            <w:pPr>
              <w:pStyle w:val="Compact"/>
              <w:spacing w:after="20" w:before="20" w:line="240" w:lineRule="auto"/>
            </w:pPr>
            <w:r>
              <w:rPr>
                <w:sz w:val="18"/>
              </w:rPr>
              <w:t xml:space="preserve">Metrics</w:t>
            </w:r>
          </w:p>
        </w:tc>
        <w:tc>
          <w:tcPr/>
          <w:p>
            <w:pPr>
              <w:pStyle w:val="Compact"/>
              <w:spacing w:after="20" w:before="20" w:line="240" w:lineRule="auto"/>
            </w:pPr>
            <w:r>
              <w:rPr>
                <w:sz w:val="18"/>
              </w:rPr>
              <w:t xml:space="preserve">Comparison test</w:t>
            </w:r>
          </w:p>
        </w:tc>
      </w:tr>
      <w:tr>
        <w:tc>
          <w:tcPr/>
          <w:p>
            <w:pPr>
              <w:pStyle w:val="Compact"/>
              <w:spacing w:after="20" w:before="20" w:line="240" w:lineRule="auto"/>
            </w:pPr>
            <w:r>
              <w:rPr>
                <w:sz w:val="18"/>
              </w:rPr>
              <w:t xml:space="preserve">Benign–malignant classification</w:t>
            </w:r>
          </w:p>
        </w:tc>
        <w:tc>
          <w:tcPr/>
          <w:p>
            <w:pPr>
              <w:pStyle w:val="Compact"/>
              <w:spacing w:after="20" w:before="20" w:line="240" w:lineRule="auto"/>
            </w:pPr>
            <w:r>
              <w:rPr>
                <w:sz w:val="18"/>
              </w:rPr>
              <w:t xml:space="preserve">AUC; sensitivity, specificity, PPV, NPV, accuracy, F1 and MCC at</w:t>
            </w:r>
            <w:r>
              <w:rPr>
                <w:sz w:val="18"/>
              </w:rPr>
              <w:t xml:space="preserve"> </w:t>
            </w:r>
            <m:oMath>
              <m:sSup>
                <m:e>
                  <m:r>
                    <m:t>t</m:t>
                  </m:r>
                </m:e>
                <m:sup>
                  <m:r>
                    <m:rPr>
                      <m:sty m:val="p"/>
                    </m:rPr>
                    <m:t>*</m:t>
                  </m:r>
                </m:sup>
              </m:sSup>
            </m:oMath>
          </w:p>
        </w:tc>
        <w:tc>
          <w:tcPr/>
          <w:p>
            <w:pPr>
              <w:pStyle w:val="Compact"/>
              <w:spacing w:after="20" w:before="20" w:line="240" w:lineRule="auto"/>
            </w:pPr>
            <w:r>
              <w:rPr>
                <w:sz w:val="18"/>
              </w:rPr>
              <w:t xml:space="preserve">AUC: DeLong test [31] (difference, CI, z, p); sensitivity and specificity at</w:t>
            </w:r>
            <w:r>
              <w:rPr>
                <w:sz w:val="18"/>
              </w:rPr>
              <w:t xml:space="preserve"> </w:t>
            </w:r>
            <m:oMath>
              <m:sSup>
                <m:e>
                  <m:r>
                    <m:t>t</m:t>
                  </m:r>
                </m:e>
                <m:sup>
                  <m:r>
                    <m:rPr>
                      <m:sty m:val="p"/>
                    </m:rPr>
                    <m:t>*</m:t>
                  </m:r>
                </m:sup>
              </m:sSup>
            </m:oMath>
            <w:r>
              <w:rPr>
                <w:sz w:val="18"/>
              </w:rPr>
              <w:t xml:space="preserve">: exact McNemar test [32] with discordant counts; Holm correction [33] over all comparisons with the full model</w:t>
            </w:r>
          </w:p>
        </w:tc>
      </w:tr>
      <w:tr>
        <w:tc>
          <w:tcPr/>
          <w:p>
            <w:pPr>
              <w:pStyle w:val="Compact"/>
              <w:spacing w:after="20" w:before="20" w:line="240" w:lineRule="auto"/>
            </w:pPr>
            <w:r>
              <w:rPr>
                <w:sz w:val="18"/>
              </w:rPr>
              <w:t xml:space="preserve">Calibration</w:t>
            </w:r>
          </w:p>
        </w:tc>
        <w:tc>
          <w:tcPr/>
          <w:p>
            <w:pPr>
              <w:pStyle w:val="Compact"/>
              <w:spacing w:after="20" w:before="20" w:line="240" w:lineRule="auto"/>
            </w:pPr>
            <w:r>
              <w:rPr>
                <w:sz w:val="18"/>
              </w:rPr>
              <w:t xml:space="preserve">Brier score, calibration slope and intercept, calibration curve (10 quantile bins)</w:t>
            </w:r>
          </w:p>
        </w:tc>
        <w:tc>
          <w:tcPr/>
          <w:p>
            <w:pPr>
              <w:pStyle w:val="Compact"/>
              <w:spacing w:after="20" w:before="20" w:line="240" w:lineRule="auto"/>
            </w:pPr>
            <w:r>
              <w:rPr>
                <w:sz w:val="18"/>
              </w:rPr>
              <w:t xml:space="preserve">—</w:t>
            </w:r>
          </w:p>
        </w:tc>
      </w:tr>
      <w:tr>
        <w:tc>
          <w:tcPr/>
          <w:p>
            <w:pPr>
              <w:pStyle w:val="Compact"/>
              <w:spacing w:after="20" w:before="20" w:line="240" w:lineRule="auto"/>
            </w:pPr>
            <w:r>
              <w:rPr>
                <w:sz w:val="18"/>
              </w:rPr>
              <w:t xml:space="preserve">Segmentation (AFMO only)</w:t>
            </w:r>
          </w:p>
        </w:tc>
        <w:tc>
          <w:tcPr/>
          <w:p>
            <w:pPr>
              <w:pStyle w:val="Compact"/>
              <w:spacing w:after="20" w:before="20" w:line="240" w:lineRule="auto"/>
            </w:pPr>
            <w:r>
              <w:rPr>
                <w:sz w:val="18"/>
              </w:rPr>
              <w:t xml:space="preserve">Dice of Otsu-binarized F against the dataset masks</w:t>
            </w:r>
          </w:p>
        </w:tc>
        <w:tc>
          <w:tcPr/>
          <w:p>
            <w:pPr>
              <w:pStyle w:val="Compact"/>
              <w:spacing w:after="20" w:before="20" w:line="240" w:lineRule="auto"/>
            </w:pPr>
            <w:r>
              <w:rPr>
                <w:sz w:val="18"/>
              </w:rPr>
              <w:t xml:space="preserve">paired Wilcoxon test against Otsu on the raw image</w:t>
            </w:r>
          </w:p>
        </w:tc>
      </w:tr>
      <w:tr>
        <w:tc>
          <w:tcPr/>
          <w:p>
            <w:pPr>
              <w:pStyle w:val="Compact"/>
              <w:spacing w:after="20" w:before="20" w:line="240" w:lineRule="auto"/>
            </w:pPr>
            <w:r>
              <w:rPr>
                <w:sz w:val="18"/>
              </w:rPr>
              <w:t xml:space="preserve">Explanation quality</w:t>
            </w:r>
          </w:p>
        </w:tc>
        <w:tc>
          <w:tcPr/>
          <w:p>
            <w:pPr>
              <w:pStyle w:val="Compact"/>
              <w:spacing w:after="20" w:before="20" w:line="240" w:lineRule="auto"/>
            </w:pPr>
            <w:r>
              <w:rPr>
                <w:sz w:val="18"/>
              </w:rPr>
              <w:t xml:space="preserve">deletion and insertion AUC vs. random saliency; SHAP top-10 rank stability</w:t>
            </w:r>
          </w:p>
        </w:tc>
        <w:tc>
          <w:tcPr/>
          <w:p>
            <w:pPr>
              <w:pStyle w:val="Compact"/>
              <w:spacing w:after="20" w:before="20" w:line="240" w:lineRule="auto"/>
            </w:pPr>
            <w:r>
              <w:rPr>
                <w:sz w:val="18"/>
              </w:rPr>
              <w:t xml:space="preserve">—</w:t>
            </w:r>
          </w:p>
        </w:tc>
      </w:tr>
    </w:tbl>
    <w:p>
      <w:pPr>
        <w:pStyle w:val="FirstParagraph"/>
      </w:pPr>
      <w:r>
        <w:rPr>
          <w:b/>
          <w:bCs/>
        </w:rPr>
        <w:t xml:space="preserve">Comparators</w:t>
      </w:r>
      <w:r>
        <w:t xml:space="preserve">, all trained on the same partitions with the same tuning budget: an image-only CNN (the same ResNet-18 on</w:t>
      </w:r>
      <w:r>
        <w:t xml:space="preserve"> </w:t>
      </w:r>
      <m:oMath>
        <m:acc>
          <m:accPr>
            <m:chr m:val="̃"/>
          </m:accPr>
          <m:e>
            <m:r>
              <m:t>x</m:t>
            </m:r>
          </m:e>
        </m:acc>
      </m:oMath>
      <w:r>
        <w:t xml:space="preserve"> </w:t>
      </w:r>
      <w:r>
        <w:t xml:space="preserve">alone, no fuzzy channel, no descriptors); a descriptor-only XGBoost; a CNN + XGBoost late fusion (mean of the two probabilities, the design of the first submission); and each of the four base learners alone. A TI-RADS-alone comparator is not possible because TN3K has no TI-RADS category.</w:t>
      </w:r>
    </w:p>
    <w:p>
      <w:pPr>
        <w:pStyle w:val="BodyText"/>
      </w:pPr>
      <w:r>
        <w:rPr>
          <w:b/>
          <w:bCs/>
        </w:rPr>
        <w:t xml:space="preserve">Ablation</w:t>
      </w:r>
      <w:r>
        <w:t xml:space="preserve"> </w:t>
      </w:r>
      <w:r>
        <w:t xml:space="preserve">removes one component at a time and re-tunes the rest on validation: (a) AFMO off, F replaced by μ; (b) ATCFM off, μ replaced by the Gaussian term of Eq. (4) with α = β = 0 and q = 1; (c) quality coefficients off,</w:t>
      </w:r>
      <w:r>
        <w:t xml:space="preserve"> </w:t>
      </w:r>
      <m:oMath>
        <m:sSub>
          <m:e>
            <m:r>
              <m:t>Q</m:t>
            </m:r>
          </m:e>
          <m:sub>
            <m:r>
              <m:t>m</m:t>
            </m:r>
          </m:sub>
        </m:sSub>
      </m:oMath>
      <w:r>
        <w:t xml:space="preserve"> </w:t>
      </w:r>
      <w:r>
        <w:t xml:space="preserve">= 1; (d) regional inputs off — not applicable on TN3K, where</w:t>
      </w:r>
      <w:r>
        <w:t xml:space="preserve"> </w:t>
      </w:r>
      <m:oMath>
        <m:sSub>
          <m:e>
            <m:r>
              <m:rPr>
                <m:sty m:val="p"/>
              </m:rPr>
              <m:t>Δ</m:t>
            </m:r>
          </m:e>
          <m:sub>
            <m:r>
              <m:t>r</m:t>
            </m:r>
            <m:r>
              <m:t>e</m:t>
            </m:r>
            <m:r>
              <m:t>g</m:t>
            </m:r>
          </m:sub>
        </m:sSub>
      </m:oMath>
      <w:r>
        <w:t xml:space="preserve"> </w:t>
      </w:r>
      <w:r>
        <w:t xml:space="preserve">= 0 already; (e) equal ensemble weights, τ → ∞; (f) each learner removed in turn. Differences are reported with paired bootstrap intervals and DeLong p-values.</w:t>
      </w:r>
    </w:p>
    <w:p>
      <w:pPr>
        <w:pStyle w:val="BodyText"/>
      </w:pPr>
      <w:r>
        <w:rPr>
          <w:b/>
          <w:bCs/>
        </w:rPr>
        <w:t xml:space="preserve">Three experiments test the framework where its assumptions matter.</w:t>
      </w:r>
      <w:r>
        <w:t xml:space="preserve"> </w:t>
      </w:r>
      <w:r>
        <w:t xml:space="preserve">E1,</w:t>
      </w:r>
      <w:r>
        <w:t xml:space="preserve"> </w:t>
      </w:r>
      <w:r>
        <w:rPr>
          <w:i/>
          <w:iCs/>
        </w:rPr>
        <w:t xml:space="preserve">fully automatic inference</w:t>
      </w:r>
      <w:r>
        <w:t xml:space="preserve">: the crop and the descriptors are computed from the Otsu-binarized fuzzy map F instead of the radiologist mask, for TAMES AI and for every comparator, so that no expert input is used at inference; the preprocessing parameters selected in the main experiment are kept. E2,</w:t>
      </w:r>
      <w:r>
        <w:t xml:space="preserve"> </w:t>
      </w:r>
      <w:r>
        <w:rPr>
          <w:i/>
          <w:iCs/>
        </w:rPr>
        <w:t xml:space="preserve">image-quality robustness</w:t>
      </w:r>
      <w:r>
        <w:t xml:space="preserve">: the raw test images are degraded with additive Gaussian noise (σ = 0.05, 0.10, 0.20 of the intensity range), multiplicative speckle noise (σ = 0.10, 0.20, 0.40), Gaussian blur (σ = 1, 2, 4 px) and contrast reduction (× 0.7, 0.5, 0.3 about the mean); the whole front end (fuzzy maps, q, crop, descriptors) is recomputed and the frozen models are scored, so that the quality coefficient reacts to the degradation; the ablation-(c) models are scored under the same conditions to isolate the effect of quality gating. E3,</w:t>
      </w:r>
      <w:r>
        <w:t xml:space="preserve"> </w:t>
      </w:r>
      <w:r>
        <w:rPr>
          <w:i/>
          <w:iCs/>
        </w:rPr>
        <w:t xml:space="preserve">low-data regime</w:t>
      </w:r>
      <w:r>
        <w:t xml:space="preserve">: TAMES AI and the image-only CNN are retrained on 10 %, 25 % and 50 % of the training partition (stratified, three seeds), validation and test unchanged. Subgroup performance is reported by nodule size (area fraction below/above the median) only; TN3K has no Bethesda, sex or scanner metadata.</w:t>
      </w:r>
    </w:p>
    <w:p>
      <w:pPr>
        <w:pStyle w:val="BodyText"/>
      </w:pPr>
      <w:r>
        <w:rPr>
          <w:b/>
          <w:bCs/>
        </w:rPr>
        <w:t xml:space="preserve">Sample size.</w:t>
      </w:r>
      <w:r>
        <w:t xml:space="preserve"> </w:t>
      </w:r>
      <w:r>
        <w:t xml:space="preserve">With the criteria of Riley et al. [34] for a binary outcome,</w:t>
      </w:r>
      <w:r>
        <w:t xml:space="preserve"> </w:t>
      </w:r>
      <m:oMath>
        <m:sSub>
          <m:e>
            <m:r>
              <m:t>d</m:t>
            </m:r>
          </m:e>
          <m:sub>
            <m:r>
              <m:t>z</m:t>
            </m:r>
          </m:sub>
        </m:sSub>
      </m:oMath>
      <w:r>
        <w:t xml:space="preserve"> </w:t>
      </w:r>
      <w:r>
        <w:t xml:space="preserve">= 141 candidate predictors, an anticipated AUC of 0.80 (</w:t>
      </w:r>
      <m:oMath>
        <m:sSubSup>
          <m:e>
            <m:r>
              <m:t>R</m:t>
            </m:r>
          </m:e>
          <m:sub>
            <m:r>
              <m:t>C</m:t>
            </m:r>
            <m:r>
              <m:t>S</m:t>
            </m:r>
          </m:sub>
          <m:sup>
            <m:r>
              <m:t>2</m:t>
            </m:r>
          </m:sup>
        </m:sSubSup>
      </m:oMath>
      <w:r>
        <w:t xml:space="preserve"> </w:t>
      </w:r>
      <w:r>
        <w:t xml:space="preserve">= 0.241 by the binormal conversion of Riley, Van Calster and Collins, 2021) and a prevalence of 0.338, the minimum development sample is 4,519 images with 1,528 events, the shrinkage criterion being the binding one; the training partition (2,303 images, 779 malignant) does not meet it, so the learners operate in a regime where optimism is expected and the validation-based selection must do the work of shrinkage. The 614-image test set gives a 95 % CI half-width of about ±0.04 on an AUC of 0.75.</w:t>
      </w:r>
    </w:p>
    <w:p>
      <w:pPr>
        <w:pStyle w:val="Heading1"/>
      </w:pPr>
      <w:bookmarkStart w:id="28" w:name="_implementation"/>
      <w:r>
        <w:t xml:space="preserve">3.13 Implementation</w:t>
      </w:r>
      <w:bookmarkEnd w:id="28"/>
    </w:p>
    <w:tbl>
      <w:tblPr>
        <w:tblStyle w:val="Table"/>
        <w:tblW w:type="pct" w:w="5000"/>
        <w:tblLayout w:type="fixed"/>
        <w:tblLook w:firstRow="1" w:lastRow="0" w:firstColumn="0" w:lastColumn="0" w:noHBand="0" w:noVBand="0" w:val="0020"/>
      </w:tblPr>
      <w:tblGrid>
        <w:gridCol w:w="3813"/>
        <w:gridCol w:w="4106"/>
      </w:tblGrid>
      <w:tr>
        <w:trPr>
          <w:tblHeader w:val="on"/>
        </w:trPr>
        <w:tc>
          <w:tcPr/>
          <w:p>
            <w:pPr>
              <w:pStyle w:val="Compact"/>
              <w:spacing w:after="20" w:before="20" w:line="240" w:lineRule="auto"/>
            </w:pPr>
            <w:r>
              <w:rPr>
                <w:sz w:val="18"/>
              </w:rPr>
              <w:t xml:space="preserve">Item</w:t>
            </w:r>
          </w:p>
        </w:tc>
        <w:tc>
          <w:tcPr/>
          <w:p>
            <w:pPr>
              <w:pStyle w:val="Compact"/>
              <w:spacing w:after="20" w:before="20" w:line="240" w:lineRule="auto"/>
            </w:pPr>
            <w:r>
              <w:rPr>
                <w:sz w:val="18"/>
              </w:rPr>
              <w:t xml:space="preserve">Value</w:t>
            </w:r>
          </w:p>
        </w:tc>
      </w:tr>
      <w:tr>
        <w:tc>
          <w:tcPr/>
          <w:p>
            <w:pPr>
              <w:pStyle w:val="Compact"/>
              <w:spacing w:after="20" w:before="20" w:line="240" w:lineRule="auto"/>
            </w:pPr>
            <w:r>
              <w:rPr>
                <w:sz w:val="18"/>
              </w:rPr>
              <w:t xml:space="preserve">Framework</w:t>
            </w:r>
          </w:p>
        </w:tc>
        <w:tc>
          <w:tcPr/>
          <w:p>
            <w:pPr>
              <w:pStyle w:val="Compact"/>
              <w:spacing w:after="20" w:before="20" w:line="240" w:lineRule="auto"/>
            </w:pPr>
            <w:r>
              <w:rPr>
                <w:sz w:val="18"/>
              </w:rPr>
              <w:t xml:space="preserve">PyTorch 2.14.1 for f_θ and g_φ; scikit-learn 1.9.1 for RF and FSVM; xgboost 3.4.1; shap 0.53.0; scikit-image 0.26.0 for the fuzzy front end</w:t>
            </w:r>
          </w:p>
        </w:tc>
      </w:tr>
      <w:tr>
        <w:tc>
          <w:tcPr/>
          <w:p>
            <w:pPr>
              <w:pStyle w:val="Compact"/>
              <w:spacing w:after="20" w:before="20" w:line="240" w:lineRule="auto"/>
            </w:pPr>
            <w:r>
              <w:rPr>
                <w:sz w:val="18"/>
              </w:rPr>
              <w:t xml:space="preserve">Backbone</w:t>
            </w:r>
          </w:p>
        </w:tc>
        <w:tc>
          <w:tcPr/>
          <w:p>
            <w:pPr>
              <w:pStyle w:val="Compact"/>
              <w:spacing w:after="20" w:before="20" w:line="240" w:lineRule="auto"/>
            </w:pPr>
            <w:r>
              <w:rPr>
                <w:sz w:val="18"/>
              </w:rPr>
              <w:t xml:space="preserve">ResNet-18, ImageNet-1k initialization, first convolution widened to two channels by averaging the pretrained filters</w:t>
            </w:r>
          </w:p>
        </w:tc>
      </w:tr>
      <w:tr>
        <w:tc>
          <w:tcPr/>
          <w:p>
            <w:pPr>
              <w:pStyle w:val="Compact"/>
              <w:spacing w:after="20" w:before="20" w:line="240" w:lineRule="auto"/>
            </w:pPr>
            <w:r>
              <w:rPr>
                <w:sz w:val="18"/>
              </w:rPr>
              <w:t xml:space="preserve">Hardware</w:t>
            </w:r>
          </w:p>
        </w:tc>
        <w:tc>
          <w:tcPr/>
          <w:p>
            <w:pPr>
              <w:pStyle w:val="Compact"/>
              <w:spacing w:after="20" w:before="20" w:line="240" w:lineRule="auto"/>
            </w:pPr>
            <w:r>
              <w:rPr>
                <w:sz w:val="18"/>
              </w:rPr>
              <w:t xml:space="preserve">Apple M5 Pro (MPS backend), 24 GB unified memory; training time 2–5 min per seed (12–27 epochs at about 10 s per epoch)</w:t>
            </w:r>
          </w:p>
        </w:tc>
      </w:tr>
      <w:tr>
        <w:tc>
          <w:tcPr/>
          <w:p>
            <w:pPr>
              <w:pStyle w:val="Compact"/>
              <w:spacing w:after="20" w:before="20" w:line="240" w:lineRule="auto"/>
            </w:pPr>
            <w:r>
              <w:rPr>
                <w:sz w:val="18"/>
              </w:rPr>
              <w:t xml:space="preserve">Seeds</w:t>
            </w:r>
          </w:p>
        </w:tc>
        <w:tc>
          <w:tcPr/>
          <w:p>
            <w:pPr>
              <w:pStyle w:val="Compact"/>
              <w:spacing w:after="20" w:before="20" w:line="240" w:lineRule="auto"/>
            </w:pPr>
            <w:r>
              <w:rPr>
                <w:sz w:val="18"/>
              </w:rPr>
              <w:t xml:space="preserve">five runs (seeds 0–4) for the main experiment and E1, three (0–2) for E3; pooled predictions for intervals, seed-to-seed SD in Supplementary Table S3</w:t>
            </w:r>
          </w:p>
        </w:tc>
      </w:tr>
      <w:tr>
        <w:tc>
          <w:tcPr/>
          <w:p>
            <w:pPr>
              <w:pStyle w:val="Compact"/>
              <w:spacing w:after="20" w:before="20" w:line="240" w:lineRule="auto"/>
            </w:pPr>
            <w:r>
              <w:rPr>
                <w:sz w:val="18"/>
              </w:rPr>
              <w:t xml:space="preserve">Image pipeline</w:t>
            </w:r>
          </w:p>
        </w:tc>
        <w:tc>
          <w:tcPr/>
          <w:p>
            <w:pPr>
              <w:pStyle w:val="Compact"/>
              <w:spacing w:after="20" w:before="20" w:line="240" w:lineRule="auto"/>
            </w:pPr>
            <w:r>
              <w:rPr>
                <w:sz w:val="18"/>
              </w:rPr>
              <w:t xml:space="preserve">nodule-centered crop of 1.5× the bounding box, resized to 224 × 224; window k = 7; L = 256; ε = 10⁻⁶; augmentation: horizontal flip, ±10° rotation, brightness ±10 %</w:t>
            </w:r>
          </w:p>
        </w:tc>
      </w:tr>
      <w:tr>
        <w:tc>
          <w:tcPr/>
          <w:p>
            <w:pPr>
              <w:pStyle w:val="Compact"/>
              <w:spacing w:after="20" w:before="20" w:line="240" w:lineRule="auto"/>
            </w:pPr>
            <w:r>
              <w:rPr>
                <w:sz w:val="18"/>
              </w:rPr>
              <w:t xml:space="preserve">Optimization</w:t>
            </w:r>
          </w:p>
        </w:tc>
        <w:tc>
          <w:tcPr/>
          <w:p>
            <w:pPr>
              <w:pStyle w:val="Compact"/>
              <w:spacing w:after="20" w:before="20" w:line="240" w:lineRule="auto"/>
            </w:pPr>
            <w:r>
              <w:rPr>
                <w:sz w:val="18"/>
              </w:rPr>
              <w:t xml:space="preserve">AdamW, lr 3×10⁻⁴, weight decay 10⁻⁴, batch 32, cosine schedule, ≤ 30 epochs, early stopping on validation AUC (patience 6), class-balanced BCE</w:t>
            </w:r>
          </w:p>
        </w:tc>
      </w:tr>
      <w:tr>
        <w:tc>
          <w:tcPr/>
          <w:p>
            <w:pPr>
              <w:pStyle w:val="Compact"/>
              <w:spacing w:after="20" w:before="20" w:line="240" w:lineRule="auto"/>
            </w:pPr>
            <w:r>
              <w:rPr>
                <w:sz w:val="18"/>
              </w:rPr>
              <w:t xml:space="preserve">Selected hyperparameters</w:t>
            </w:r>
          </w:p>
        </w:tc>
        <w:tc>
          <w:tcPr/>
          <w:p>
            <w:pPr>
              <w:pStyle w:val="Compact"/>
              <w:spacing w:after="20" w:before="20" w:line="240" w:lineRule="auto"/>
            </w:pPr>
            <w:r>
              <w:rPr>
                <w:sz w:val="18"/>
              </w:rPr>
              <w:t xml:space="preserve">α = 2, β = 0.5, γ = 2, λ = 0, τ = 0.05 (all seeds),</w:t>
            </w:r>
            <w:r>
              <w:rPr>
                <w:sz w:val="18"/>
              </w:rPr>
              <w:t xml:space="preserve"> </w:t>
            </w:r>
            <m:oMath>
              <m:sSup>
                <m:e>
                  <m:r>
                    <m:t>t</m:t>
                  </m:r>
                </m:e>
                <m:sup>
                  <m:r>
                    <m:rPr>
                      <m:sty m:val="p"/>
                    </m:rPr>
                    <m:t>*</m:t>
                  </m:r>
                </m:sup>
              </m:sSup>
            </m:oMath>
            <w:r>
              <w:rPr>
                <w:sz w:val="18"/>
              </w:rPr>
              <w:t xml:space="preserve"> </w:t>
            </w:r>
            <w:r>
              <w:rPr>
                <w:sz w:val="18"/>
              </w:rPr>
              <w:t xml:space="preserve">= 0.134; learner grids and selected values in Supplementary Table S2</w:t>
            </w:r>
          </w:p>
        </w:tc>
      </w:tr>
      <w:tr>
        <w:tc>
          <w:tcPr/>
          <w:p>
            <w:pPr>
              <w:pStyle w:val="Compact"/>
              <w:spacing w:after="20" w:before="20" w:line="240" w:lineRule="auto"/>
            </w:pPr>
            <w:r>
              <w:rPr>
                <w:sz w:val="18"/>
              </w:rPr>
              <w:t xml:space="preserve">Code and weights</w:t>
            </w:r>
          </w:p>
        </w:tc>
        <w:tc>
          <w:tcPr/>
          <w:p>
            <w:pPr>
              <w:pStyle w:val="Compact"/>
              <w:spacing w:after="20" w:before="20" w:line="240" w:lineRule="auto"/>
            </w:pPr>
            <w:r>
              <w:rPr>
                <w:sz w:val="18"/>
              </w:rPr>
              <w:t xml:space="preserve">https://github.com/Mrkomiljon/tames-ai, commit 4a863f5; trained weights [[DOI]]</w:t>
            </w:r>
          </w:p>
        </w:tc>
      </w:tr>
    </w:tbl>
    <w:p>
      <w:pPr>
        <w:pStyle w:val="Heading1"/>
      </w:pPr>
      <w:bookmarkStart w:id="29" w:name="_3cdf90b4fb322d64ad15dc6470dae55edabed50"/>
      <w:r>
        <w:t xml:space="preserve">4. System Architecture</w:t>
      </w:r>
      <w:bookmarkEnd w:id="29"/>
    </w:p>
    <w:p>
      <w:pPr>
        <w:pStyle w:val="FirstParagraph"/>
      </w:pPr>
      <w:r>
        <w:t xml:space="preserve">TAMES AI is organized as eight layers (Figure 2). The data-collection layer admits four modalities; in this study only the image is available, and the structured branch is fed by descriptors derived from the nodule delineation (Table 2). The image passes through the adaptive fuzzy layer (Sections 3.4–3.5) and the convolutional backbone, the structured inputs through preparation and quality scoring; the fusion layer builds z (Eq. 11); the hybrid AI layer runs the four learners; the adaptive ensemble, regional prior and decision rule produce the final probability (Eqs. 14–16); the explainable-AI layer attaches SHAP and Grad-CAM evidence; and the decision-support layer returns label, probability and explanation. Inference takes 0.54 s per image on an Apple M5 Pro at batch size 1, 0.25 s of it in the fuzzy front end.</w:t>
      </w:r>
    </w:p>
    <w:p>
      <w:pPr>
        <w:pStyle w:val="BodyText"/>
      </w:pPr>
      <w:r>
        <w:drawing>
          <wp:inline>
            <wp:extent cx="5334000" cy="4710202"/>
            <wp:effectExtent b="0" l="0" r="0" t="0"/>
            <wp:docPr descr="" title="" id="31" name="Picture"/>
            <a:graphic>
              <a:graphicData uri="http://schemas.openxmlformats.org/drawingml/2006/picture">
                <pic:pic>
                  <pic:nvPicPr>
                    <pic:cNvPr descr="figures/fig2_architecture.png" id="32" name="Picture"/>
                    <pic:cNvPicPr>
                      <a:picLocks noChangeArrowheads="1" noChangeAspect="1"/>
                    </pic:cNvPicPr>
                  </pic:nvPicPr>
                  <pic:blipFill>
                    <a:blip r:embed="rId30"/>
                    <a:stretch>
                      <a:fillRect/>
                    </a:stretch>
                  </pic:blipFill>
                  <pic:spPr bwMode="auto">
                    <a:xfrm>
                      <a:off x="0" y="0"/>
                      <a:ext cx="5334000" cy="471020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Architecture of TAMES AI as eight layers. Solid boxes are the components evaluated on TN3K; dashed boxes (laboratory, clinical and regional inputs and their quality coefficients) are defined by the framework but have no data in TN3K; the highlighted box is the contribution of this work. Equation numbers refer to Section 3.</w:t>
      </w:r>
    </w:p>
    <w:p>
      <w:pPr>
        <w:pStyle w:val="Heading1"/>
      </w:pPr>
      <w:bookmarkStart w:id="33" w:name="_results"/>
      <w:r>
        <w:t xml:space="preserve">5. Results</w:t>
      </w:r>
      <w:bookmarkEnd w:id="33"/>
    </w:p>
    <w:p>
      <w:pPr>
        <w:pStyle w:val="Heading1"/>
      </w:pPr>
      <w:bookmarkStart w:id="34" w:name="_cohort"/>
      <w:r>
        <w:t xml:space="preserve">5.1 Cohort</w:t>
      </w:r>
      <w:bookmarkEnd w:id="34"/>
    </w:p>
    <w:p>
      <w:pPr>
        <w:pStyle w:val="FirstParagraph"/>
      </w:pPr>
      <w:r>
        <w:t xml:space="preserve">All 3,493 images of the TN3K release were used: 2,303 training and 576 validation images (974 malignant, 33.8 %) and 614 test images (236 malignant, 38.4 %) (Table 1, Figure 1). No image was excluded and no delineation was empty after loading, so</w:t>
      </w:r>
      <w:r>
        <w:t xml:space="preserve"> </w:t>
      </w:r>
      <m:oMath>
        <m:sSub>
          <m:e>
            <m:r>
              <m:t>Q</m:t>
            </m:r>
          </m:e>
          <m:sub>
            <m:r>
              <m:t>s</m:t>
            </m:r>
            <m:r>
              <m:t>t</m:t>
            </m:r>
            <m:r>
              <m:t>r</m:t>
            </m:r>
            <m:r>
              <m:t>u</m:t>
            </m:r>
            <m:r>
              <m:t>c</m:t>
            </m:r>
            <m:r>
              <m:t>t</m:t>
            </m:r>
          </m:sub>
        </m:sSub>
      </m:oMath>
      <w:r>
        <w:t xml:space="preserve"> </w:t>
      </w:r>
      <w:r>
        <w:t xml:space="preserve">= 1 for every image. Native image sizes ranged from 174 × 216 to 771 × 1,463 pixels (by pixel count); the median training-image SNR that defines SNR₀ in Eq. (3) was 59.18.</w:t>
      </w:r>
    </w:p>
    <w:p>
      <w:pPr>
        <w:pStyle w:val="Heading1"/>
      </w:pPr>
      <w:bookmarkStart w:id="35" w:name="_segmentation"/>
      <w:r>
        <w:t xml:space="preserve">5.2 Segmentation</w:t>
      </w:r>
      <w:bookmarkEnd w:id="35"/>
    </w:p>
    <w:p>
      <w:pPr>
        <w:pStyle w:val="FirstParagraph"/>
      </w:pPr>
      <w:r>
        <w:t xml:space="preserve">With the parameters selected on validation (α = 2, β = 0.5, γ = 2, λ = 0), the Otsu-binarized fuzzy map F reached a Dice coefficient of 0.201 against the dataset masks on the test set, compared with 0.120 for Otsu thresholding of the raw image (paired Wilcoxon p = 1.1 × 10⁻⁴⁹, n = 614); on validation the values were 0.245 and 0.145. The map is a boundary-and-homogeneity representation rather than a segmenter, and these values are whole-image thresholds without post-processing; their role is to show that the fuzzy processing moves the image toward the nodule, which Experiment E1 then tests as a source of the crop and the descriptors. Figure 3 shows representative test images with their delineations, the membership μ, the map F and its Otsu binarization.</w:t>
      </w:r>
    </w:p>
    <w:p>
      <w:pPr>
        <w:pStyle w:val="BodyText"/>
      </w:pPr>
      <w:r>
        <w:drawing>
          <wp:inline>
            <wp:extent cx="5334000" cy="4880609"/>
            <wp:effectExtent b="0" l="0" r="0" t="0"/>
            <wp:docPr descr="" title="" id="37" name="Picture"/>
            <a:graphic>
              <a:graphicData uri="http://schemas.openxmlformats.org/drawingml/2006/picture">
                <pic:pic>
                  <pic:nvPicPr>
                    <pic:cNvPr descr="figures/fig3_samples_300dpi.jpg" id="38" name="Picture"/>
                    <pic:cNvPicPr>
                      <a:picLocks noChangeArrowheads="1" noChangeAspect="1"/>
                    </pic:cNvPicPr>
                  </pic:nvPicPr>
                  <pic:blipFill>
                    <a:blip r:embed="rId36"/>
                    <a:stretch>
                      <a:fillRect/>
                    </a:stretch>
                  </pic:blipFill>
                  <pic:spPr bwMode="auto">
                    <a:xfrm>
                      <a:off x="0" y="0"/>
                      <a:ext cx="5334000" cy="4880609"/>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The fuzzy front end on six test images (benign true negatives, a false positive, malignant true positives and a false negative at</w:t>
      </w:r>
      <w:r>
        <w:t xml:space="preserve"> </w:t>
      </w:r>
      <m:oMath>
        <m:sSup>
          <m:e>
            <m:r>
              <m:t>t</m:t>
            </m:r>
          </m:e>
          <m:sup>
            <m:r>
              <m:rPr>
                <m:sty m:val="p"/>
              </m:rPr>
              <m:t>*</m:t>
            </m:r>
          </m:sup>
        </m:sSup>
      </m:oMath>
      <w:r>
        <w:t xml:space="preserve">; p is the TAMES AI probability). (i) Image with the expert delineation (orange) and the 1.5× crop box (dashed blue); (ii) normalized crop</w:t>
      </w:r>
      <w:r>
        <w:t xml:space="preserve"> </w:t>
      </w:r>
      <m:oMath>
        <m:acc>
          <m:accPr>
            <m:chr m:val="̃"/>
          </m:accPr>
          <m:e>
            <m:r>
              <m:t>x</m:t>
            </m:r>
          </m:e>
        </m:acc>
      </m:oMath>
      <w:r>
        <w:t xml:space="preserve">, Eq. (1); (iii) membership μ, Eq. (4); (iv) map F, Eq. (8); (v) foreground of the Otsu threshold of F (translucent blue) over the crop, expert delineation dashed. The Dice value is that of the whole-image threshold against the dataset mask without post-processing, as reported in Section 5.2; the colour scale of (iii)–(iv) spans the 1st–99th percentile of each map.</w:t>
      </w:r>
    </w:p>
    <w:p>
      <w:pPr>
        <w:pStyle w:val="Heading1"/>
      </w:pPr>
      <w:bookmarkStart w:id="39" w:name="_bab44987a5e247adf02bb43987931b0142a9e24"/>
      <w:r>
        <w:t xml:space="preserve">5.3 Classification with the expert delineation</w:t>
      </w:r>
      <w:bookmarkEnd w:id="39"/>
    </w:p>
    <w:p>
      <w:pPr>
        <w:pStyle w:val="FirstParagraph"/>
      </w:pPr>
      <w:r>
        <w:rPr>
          <w:b/>
          <w:bCs/>
        </w:rPr>
        <w:t xml:space="preserve">Table 3.</w:t>
      </w:r>
      <w:r>
        <w:t xml:space="preserve"> </w:t>
      </w:r>
      <w:r>
        <w:t xml:space="preserve">Official test set (614 images), expert delineation, five seeds pooled: discrimination and metrics at each model’s validation-fixed threshold (sensitivity ≥ 95 % rule;</w:t>
      </w:r>
      <w:r>
        <w:t xml:space="preserve"> </w:t>
      </w:r>
      <m:oMath>
        <m:sSup>
          <m:e>
            <m:r>
              <m:t>t</m:t>
            </m:r>
          </m:e>
          <m:sup>
            <m:r>
              <m:rPr>
                <m:sty m:val="p"/>
              </m:rPr>
              <m:t>*</m:t>
            </m:r>
          </m:sup>
        </m:sSup>
      </m:oMath>
      <w:r>
        <w:t xml:space="preserve"> </w:t>
      </w:r>
      <w:r>
        <w:t xml:space="preserve">= 0.134 for TAMES AI); 95 % bootstrap CIs in brackets.</w:t>
      </w:r>
    </w:p>
    <w:tbl>
      <w:tblPr>
        <w:tblStyle w:val="Table"/>
        <w:tblW w:type="pct" w:w="5000"/>
        <w:tblLayout w:type="fixed"/>
        <w:tblLook w:firstRow="1" w:lastRow="0" w:firstColumn="0" w:lastColumn="0" w:noHBand="0" w:noVBand="0" w:val="0020"/>
      </w:tblPr>
      <w:tblGrid>
        <w:gridCol w:w="1572"/>
        <w:gridCol w:w="1397"/>
        <w:gridCol w:w="990"/>
        <w:gridCol w:w="990"/>
        <w:gridCol w:w="815"/>
        <w:gridCol w:w="465"/>
        <w:gridCol w:w="465"/>
        <w:gridCol w:w="465"/>
        <w:gridCol w:w="757"/>
      </w:tblGrid>
      <w:tr>
        <w:trPr>
          <w:tblHeader w:val="on"/>
        </w:trPr>
        <w:tc>
          <w:tcPr/>
          <w:p>
            <w:pPr>
              <w:pStyle w:val="Compact"/>
              <w:spacing w:after="20" w:before="20" w:line="240" w:lineRule="auto"/>
            </w:pPr>
            <w:r>
              <w:rPr>
                <w:sz w:val="18"/>
              </w:rPr>
              <w:t xml:space="preserve">Model</w:t>
            </w:r>
          </w:p>
        </w:tc>
        <w:tc>
          <w:tcPr/>
          <w:p>
            <w:pPr>
              <w:pStyle w:val="Compact"/>
              <w:spacing w:after="20" w:before="20" w:line="240" w:lineRule="auto"/>
            </w:pPr>
            <w:r>
              <w:rPr>
                <w:sz w:val="18"/>
              </w:rPr>
              <w:t xml:space="preserve">AUC</w:t>
            </w:r>
          </w:p>
        </w:tc>
        <w:tc>
          <w:tcPr/>
          <w:p>
            <w:pPr>
              <w:pStyle w:val="Compact"/>
              <w:spacing w:after="20" w:before="20" w:line="240" w:lineRule="auto"/>
            </w:pPr>
            <w:r>
              <w:rPr>
                <w:sz w:val="18"/>
              </w:rPr>
              <w:t xml:space="preserve">Sensitivity (%)</w:t>
            </w:r>
          </w:p>
        </w:tc>
        <w:tc>
          <w:tcPr/>
          <w:p>
            <w:pPr>
              <w:pStyle w:val="Compact"/>
              <w:spacing w:after="20" w:before="20" w:line="240" w:lineRule="auto"/>
            </w:pPr>
            <w:r>
              <w:rPr>
                <w:sz w:val="18"/>
              </w:rPr>
              <w:t xml:space="preserve">Specificity (%)</w:t>
            </w:r>
          </w:p>
        </w:tc>
        <w:tc>
          <w:tcPr/>
          <w:p>
            <w:pPr>
              <w:pStyle w:val="Compact"/>
              <w:spacing w:after="20" w:before="20" w:line="240" w:lineRule="auto"/>
            </w:pPr>
            <w:r>
              <w:rPr>
                <w:sz w:val="18"/>
              </w:rPr>
              <w:t xml:space="preserve">Accuracy (%)</w:t>
            </w:r>
          </w:p>
        </w:tc>
        <w:tc>
          <w:tcPr/>
          <w:p>
            <w:pPr>
              <w:pStyle w:val="Compact"/>
              <w:spacing w:after="20" w:before="20" w:line="240" w:lineRule="auto"/>
            </w:pPr>
            <w:r>
              <w:rPr>
                <w:sz w:val="18"/>
              </w:rPr>
              <w:t xml:space="preserve">F1 (%)</w:t>
            </w:r>
          </w:p>
        </w:tc>
        <w:tc>
          <w:tcPr/>
          <w:p>
            <w:pPr>
              <w:pStyle w:val="Compact"/>
              <w:spacing w:after="20" w:before="20" w:line="240" w:lineRule="auto"/>
            </w:pPr>
            <w:r>
              <w:rPr>
                <w:sz w:val="18"/>
              </w:rPr>
              <w:t xml:space="preserve">MCC</w:t>
            </w:r>
          </w:p>
        </w:tc>
        <w:tc>
          <w:tcPr/>
          <w:p>
            <w:pPr>
              <w:pStyle w:val="Compact"/>
              <w:spacing w:after="20" w:before="20" w:line="240" w:lineRule="auto"/>
            </w:pPr>
            <w:r>
              <w:rPr>
                <w:sz w:val="18"/>
              </w:rPr>
              <w:t xml:space="preserve">Brier</w:t>
            </w:r>
          </w:p>
        </w:tc>
        <w:tc>
          <w:tcPr/>
          <w:p>
            <w:pPr>
              <w:pStyle w:val="Compact"/>
              <w:spacing w:after="20" w:before="20" w:line="240" w:lineRule="auto"/>
            </w:pPr>
            <w:r>
              <w:rPr>
                <w:sz w:val="18"/>
              </w:rPr>
              <w:t xml:space="preserve">AUC seed SD</w:t>
            </w:r>
          </w:p>
        </w:tc>
      </w:tr>
      <w:tr>
        <w:tc>
          <w:tcPr/>
          <w:p>
            <w:pPr>
              <w:pStyle w:val="Compact"/>
              <w:spacing w:after="20" w:before="20" w:line="240" w:lineRule="auto"/>
            </w:pPr>
            <w:r>
              <w:rPr>
                <w:sz w:val="18"/>
              </w:rPr>
              <w:t xml:space="preserve">Image-only CNN</w:t>
            </w:r>
          </w:p>
        </w:tc>
        <w:tc>
          <w:tcPr/>
          <w:p>
            <w:pPr>
              <w:pStyle w:val="Compact"/>
              <w:spacing w:after="20" w:before="20" w:line="240" w:lineRule="auto"/>
            </w:pPr>
            <w:r>
              <w:rPr>
                <w:sz w:val="18"/>
              </w:rPr>
              <w:t xml:space="preserve">0.830 [0.794, 0.861]</w:t>
            </w:r>
          </w:p>
        </w:tc>
        <w:tc>
          <w:tcPr/>
          <w:p>
            <w:pPr>
              <w:pStyle w:val="Compact"/>
              <w:spacing w:after="20" w:before="20" w:line="240" w:lineRule="auto"/>
            </w:pPr>
            <w:r>
              <w:rPr>
                <w:sz w:val="18"/>
              </w:rPr>
              <w:t xml:space="preserve">95.8</w:t>
            </w:r>
          </w:p>
        </w:tc>
        <w:tc>
          <w:tcPr/>
          <w:p>
            <w:pPr>
              <w:pStyle w:val="Compact"/>
              <w:spacing w:after="20" w:before="20" w:line="240" w:lineRule="auto"/>
            </w:pPr>
            <w:r>
              <w:rPr>
                <w:sz w:val="18"/>
              </w:rPr>
              <w:t xml:space="preserve">31.7</w:t>
            </w:r>
          </w:p>
        </w:tc>
        <w:tc>
          <w:tcPr/>
          <w:p>
            <w:pPr>
              <w:pStyle w:val="Compact"/>
              <w:spacing w:after="20" w:before="20" w:line="240" w:lineRule="auto"/>
            </w:pPr>
            <w:r>
              <w:rPr>
                <w:sz w:val="18"/>
              </w:rPr>
              <w:t xml:space="preserve">56.4</w:t>
            </w:r>
          </w:p>
        </w:tc>
        <w:tc>
          <w:tcPr/>
          <w:p>
            <w:pPr>
              <w:pStyle w:val="Compact"/>
              <w:spacing w:after="20" w:before="20" w:line="240" w:lineRule="auto"/>
            </w:pPr>
            <w:r>
              <w:rPr>
                <w:sz w:val="18"/>
              </w:rPr>
              <w:t xml:space="preserve">62.8</w:t>
            </w:r>
          </w:p>
        </w:tc>
        <w:tc>
          <w:tcPr/>
          <w:p>
            <w:pPr>
              <w:pStyle w:val="Compact"/>
              <w:spacing w:after="20" w:before="20" w:line="240" w:lineRule="auto"/>
            </w:pPr>
            <w:r>
              <w:rPr>
                <w:sz w:val="18"/>
              </w:rPr>
              <w:t xml:space="preserve">0.328</w:t>
            </w:r>
          </w:p>
        </w:tc>
        <w:tc>
          <w:tcPr/>
          <w:p>
            <w:pPr>
              <w:pStyle w:val="Compact"/>
              <w:spacing w:after="20" w:before="20" w:line="240" w:lineRule="auto"/>
            </w:pPr>
            <w:r>
              <w:rPr>
                <w:sz w:val="18"/>
              </w:rPr>
              <w:t xml:space="preserve">0.167</w:t>
            </w:r>
          </w:p>
        </w:tc>
        <w:tc>
          <w:tcPr/>
          <w:p>
            <w:pPr>
              <w:pStyle w:val="Compact"/>
              <w:spacing w:after="20" w:before="20" w:line="240" w:lineRule="auto"/>
            </w:pPr>
            <w:r>
              <w:rPr>
                <w:sz w:val="18"/>
              </w:rPr>
              <w:t xml:space="preserve">0.017</w:t>
            </w:r>
          </w:p>
        </w:tc>
      </w:tr>
      <w:tr>
        <w:tc>
          <w:tcPr/>
          <w:p>
            <w:pPr>
              <w:pStyle w:val="Compact"/>
              <w:spacing w:after="20" w:before="20" w:line="240" w:lineRule="auto"/>
            </w:pPr>
            <w:r>
              <w:rPr>
                <w:sz w:val="18"/>
              </w:rPr>
              <w:t xml:space="preserve">Descriptor-only XGBoost</w:t>
            </w:r>
          </w:p>
        </w:tc>
        <w:tc>
          <w:tcPr/>
          <w:p>
            <w:pPr>
              <w:pStyle w:val="Compact"/>
              <w:spacing w:after="20" w:before="20" w:line="240" w:lineRule="auto"/>
            </w:pPr>
            <w:r>
              <w:rPr>
                <w:sz w:val="18"/>
              </w:rPr>
              <w:t xml:space="preserve">0.684 [0.644, 0.728]</w:t>
            </w:r>
          </w:p>
        </w:tc>
        <w:tc>
          <w:tcPr/>
          <w:p>
            <w:pPr>
              <w:pStyle w:val="Compact"/>
              <w:spacing w:after="20" w:before="20" w:line="240" w:lineRule="auto"/>
            </w:pPr>
            <w:r>
              <w:rPr>
                <w:sz w:val="18"/>
              </w:rPr>
              <w:t xml:space="preserve">78.8</w:t>
            </w:r>
          </w:p>
        </w:tc>
        <w:tc>
          <w:tcPr/>
          <w:p>
            <w:pPr>
              <w:pStyle w:val="Compact"/>
              <w:spacing w:after="20" w:before="20" w:line="240" w:lineRule="auto"/>
            </w:pPr>
            <w:r>
              <w:rPr>
                <w:sz w:val="18"/>
              </w:rPr>
              <w:t xml:space="preserve">47.1</w:t>
            </w:r>
          </w:p>
        </w:tc>
        <w:tc>
          <w:tcPr/>
          <w:p>
            <w:pPr>
              <w:pStyle w:val="Compact"/>
              <w:spacing w:after="20" w:before="20" w:line="240" w:lineRule="auto"/>
            </w:pPr>
            <w:r>
              <w:rPr>
                <w:sz w:val="18"/>
              </w:rPr>
              <w:t xml:space="preserve">59.3</w:t>
            </w:r>
          </w:p>
        </w:tc>
        <w:tc>
          <w:tcPr/>
          <w:p>
            <w:pPr>
              <w:pStyle w:val="Compact"/>
              <w:spacing w:after="20" w:before="20" w:line="240" w:lineRule="auto"/>
            </w:pPr>
            <w:r>
              <w:rPr>
                <w:sz w:val="18"/>
              </w:rPr>
              <w:t xml:space="preserve">59.8</w:t>
            </w:r>
          </w:p>
        </w:tc>
        <w:tc>
          <w:tcPr/>
          <w:p>
            <w:pPr>
              <w:pStyle w:val="Compact"/>
              <w:spacing w:after="20" w:before="20" w:line="240" w:lineRule="auto"/>
            </w:pPr>
            <w:r>
              <w:rPr>
                <w:sz w:val="18"/>
              </w:rPr>
              <w:t xml:space="preserve">0.261</w:t>
            </w:r>
          </w:p>
        </w:tc>
        <w:tc>
          <w:tcPr/>
          <w:p>
            <w:pPr>
              <w:pStyle w:val="Compact"/>
              <w:spacing w:after="20" w:before="20" w:line="240" w:lineRule="auto"/>
            </w:pPr>
            <w:r>
              <w:rPr>
                <w:sz w:val="18"/>
              </w:rPr>
              <w:t xml:space="preserve">0.237</w:t>
            </w:r>
          </w:p>
        </w:tc>
        <w:tc>
          <w:tcPr/>
          <w:p>
            <w:pPr>
              <w:pStyle w:val="Compact"/>
              <w:spacing w:after="20" w:before="20" w:line="240" w:lineRule="auto"/>
            </w:pPr>
            <w:r>
              <w:rPr>
                <w:sz w:val="18"/>
              </w:rPr>
              <w:t xml:space="preserve">0.003</w:t>
            </w:r>
          </w:p>
        </w:tc>
      </w:tr>
      <w:tr>
        <w:tc>
          <w:tcPr/>
          <w:p>
            <w:pPr>
              <w:pStyle w:val="Compact"/>
              <w:spacing w:after="20" w:before="20" w:line="240" w:lineRule="auto"/>
            </w:pPr>
            <w:r>
              <w:rPr>
                <w:sz w:val="18"/>
              </w:rPr>
              <w:t xml:space="preserve">CNN + XGBoost late fusion</w:t>
            </w:r>
          </w:p>
        </w:tc>
        <w:tc>
          <w:tcPr/>
          <w:p>
            <w:pPr>
              <w:pStyle w:val="Compact"/>
              <w:spacing w:after="20" w:before="20" w:line="240" w:lineRule="auto"/>
            </w:pPr>
            <w:r>
              <w:rPr>
                <w:sz w:val="18"/>
              </w:rPr>
              <w:t xml:space="preserve">0.802 [0.767, 0.837]</w:t>
            </w:r>
          </w:p>
        </w:tc>
        <w:tc>
          <w:tcPr/>
          <w:p>
            <w:pPr>
              <w:pStyle w:val="Compact"/>
              <w:spacing w:after="20" w:before="20" w:line="240" w:lineRule="auto"/>
            </w:pPr>
            <w:r>
              <w:rPr>
                <w:sz w:val="18"/>
              </w:rPr>
              <w:t xml:space="preserve">92.4</w:t>
            </w:r>
          </w:p>
        </w:tc>
        <w:tc>
          <w:tcPr/>
          <w:p>
            <w:pPr>
              <w:pStyle w:val="Compact"/>
              <w:spacing w:after="20" w:before="20" w:line="240" w:lineRule="auto"/>
            </w:pPr>
            <w:r>
              <w:rPr>
                <w:sz w:val="18"/>
              </w:rPr>
              <w:t xml:space="preserve">50.8</w:t>
            </w:r>
          </w:p>
        </w:tc>
        <w:tc>
          <w:tcPr/>
          <w:p>
            <w:pPr>
              <w:pStyle w:val="Compact"/>
              <w:spacing w:after="20" w:before="20" w:line="240" w:lineRule="auto"/>
            </w:pPr>
            <w:r>
              <w:rPr>
                <w:sz w:val="18"/>
              </w:rPr>
              <w:t xml:space="preserve">66.8</w:t>
            </w:r>
          </w:p>
        </w:tc>
        <w:tc>
          <w:tcPr/>
          <w:p>
            <w:pPr>
              <w:pStyle w:val="Compact"/>
              <w:spacing w:after="20" w:before="20" w:line="240" w:lineRule="auto"/>
            </w:pPr>
            <w:r>
              <w:rPr>
                <w:sz w:val="18"/>
              </w:rPr>
              <w:t xml:space="preserve">68.1</w:t>
            </w:r>
          </w:p>
        </w:tc>
        <w:tc>
          <w:tcPr/>
          <w:p>
            <w:pPr>
              <w:pStyle w:val="Compact"/>
              <w:spacing w:after="20" w:before="20" w:line="240" w:lineRule="auto"/>
            </w:pPr>
            <w:r>
              <w:rPr>
                <w:sz w:val="18"/>
              </w:rPr>
              <w:t xml:space="preserve">0.443</w:t>
            </w:r>
          </w:p>
        </w:tc>
        <w:tc>
          <w:tcPr/>
          <w:p>
            <w:pPr>
              <w:pStyle w:val="Compact"/>
              <w:spacing w:after="20" w:before="20" w:line="240" w:lineRule="auto"/>
            </w:pPr>
            <w:r>
              <w:rPr>
                <w:sz w:val="18"/>
              </w:rPr>
              <w:t xml:space="preserve">0.176</w:t>
            </w:r>
          </w:p>
        </w:tc>
        <w:tc>
          <w:tcPr/>
          <w:p>
            <w:pPr>
              <w:pStyle w:val="Compact"/>
              <w:spacing w:after="20" w:before="20" w:line="240" w:lineRule="auto"/>
            </w:pPr>
            <w:r>
              <w:rPr>
                <w:sz w:val="18"/>
              </w:rPr>
              <w:t xml:space="preserve">0.010</w:t>
            </w:r>
          </w:p>
        </w:tc>
      </w:tr>
      <w:tr>
        <w:tc>
          <w:tcPr/>
          <w:p>
            <w:pPr>
              <w:pStyle w:val="Compact"/>
              <w:spacing w:after="20" w:before="20" w:line="240" w:lineRule="auto"/>
            </w:pPr>
            <w:r>
              <w:rPr>
                <w:sz w:val="18"/>
              </w:rPr>
              <w:t xml:space="preserve">DL learner alone</w:t>
            </w:r>
          </w:p>
        </w:tc>
        <w:tc>
          <w:tcPr/>
          <w:p>
            <w:pPr>
              <w:pStyle w:val="Compact"/>
              <w:spacing w:after="20" w:before="20" w:line="240" w:lineRule="auto"/>
            </w:pPr>
            <w:r>
              <w:rPr>
                <w:sz w:val="18"/>
              </w:rPr>
              <w:t xml:space="preserve">0.819 [0.784, 0.851]</w:t>
            </w:r>
          </w:p>
        </w:tc>
        <w:tc>
          <w:tcPr/>
          <w:p>
            <w:pPr>
              <w:pStyle w:val="Compact"/>
              <w:spacing w:after="20" w:before="20" w:line="240" w:lineRule="auto"/>
            </w:pPr>
            <w:r>
              <w:rPr>
                <w:sz w:val="18"/>
              </w:rPr>
              <w:t xml:space="preserve">94.5</w:t>
            </w:r>
          </w:p>
        </w:tc>
        <w:tc>
          <w:tcPr/>
          <w:p>
            <w:pPr>
              <w:pStyle w:val="Compact"/>
              <w:spacing w:after="20" w:before="20" w:line="240" w:lineRule="auto"/>
            </w:pPr>
            <w:r>
              <w:rPr>
                <w:sz w:val="18"/>
              </w:rPr>
              <w:t xml:space="preserve">35.7</w:t>
            </w:r>
          </w:p>
        </w:tc>
        <w:tc>
          <w:tcPr/>
          <w:p>
            <w:pPr>
              <w:pStyle w:val="Compact"/>
              <w:spacing w:after="20" w:before="20" w:line="240" w:lineRule="auto"/>
            </w:pPr>
            <w:r>
              <w:rPr>
                <w:sz w:val="18"/>
              </w:rPr>
              <w:t xml:space="preserve">58.3</w:t>
            </w:r>
          </w:p>
        </w:tc>
        <w:tc>
          <w:tcPr/>
          <w:p>
            <w:pPr>
              <w:pStyle w:val="Compact"/>
              <w:spacing w:after="20" w:before="20" w:line="240" w:lineRule="auto"/>
            </w:pPr>
            <w:r>
              <w:rPr>
                <w:sz w:val="18"/>
              </w:rPr>
              <w:t xml:space="preserve">63.5</w:t>
            </w:r>
          </w:p>
        </w:tc>
        <w:tc>
          <w:tcPr/>
          <w:p>
            <w:pPr>
              <w:pStyle w:val="Compact"/>
              <w:spacing w:after="20" w:before="20" w:line="240" w:lineRule="auto"/>
            </w:pPr>
            <w:r>
              <w:rPr>
                <w:sz w:val="18"/>
              </w:rPr>
              <w:t xml:space="preserve">0.344</w:t>
            </w:r>
          </w:p>
        </w:tc>
        <w:tc>
          <w:tcPr/>
          <w:p>
            <w:pPr>
              <w:pStyle w:val="Compact"/>
              <w:spacing w:after="20" w:before="20" w:line="240" w:lineRule="auto"/>
            </w:pPr>
            <w:r>
              <w:rPr>
                <w:sz w:val="18"/>
              </w:rPr>
              <w:t xml:space="preserve">0.169</w:t>
            </w:r>
          </w:p>
        </w:tc>
        <w:tc>
          <w:tcPr/>
          <w:p>
            <w:pPr>
              <w:pStyle w:val="Compact"/>
              <w:spacing w:after="20" w:before="20" w:line="240" w:lineRule="auto"/>
            </w:pPr>
            <w:r>
              <w:rPr>
                <w:sz w:val="18"/>
              </w:rPr>
              <w:t xml:space="preserve">0.010</w:t>
            </w:r>
          </w:p>
        </w:tc>
      </w:tr>
      <w:tr>
        <w:tc>
          <w:tcPr/>
          <w:p>
            <w:pPr>
              <w:pStyle w:val="Compact"/>
              <w:spacing w:after="20" w:before="20" w:line="240" w:lineRule="auto"/>
            </w:pPr>
            <w:r>
              <w:rPr>
                <w:sz w:val="18"/>
              </w:rPr>
              <w:t xml:space="preserve">RF learner alone</w:t>
            </w:r>
          </w:p>
        </w:tc>
        <w:tc>
          <w:tcPr/>
          <w:p>
            <w:pPr>
              <w:pStyle w:val="Compact"/>
              <w:spacing w:after="20" w:before="20" w:line="240" w:lineRule="auto"/>
            </w:pPr>
            <w:r>
              <w:rPr>
                <w:sz w:val="18"/>
              </w:rPr>
              <w:t xml:space="preserve">0.811 [0.775, 0.844]</w:t>
            </w:r>
          </w:p>
        </w:tc>
        <w:tc>
          <w:tcPr/>
          <w:p>
            <w:pPr>
              <w:pStyle w:val="Compact"/>
              <w:spacing w:after="20" w:before="20" w:line="240" w:lineRule="auto"/>
            </w:pPr>
            <w:r>
              <w:rPr>
                <w:sz w:val="18"/>
              </w:rPr>
              <w:t xml:space="preserve">95.3</w:t>
            </w:r>
          </w:p>
        </w:tc>
        <w:tc>
          <w:tcPr/>
          <w:p>
            <w:pPr>
              <w:pStyle w:val="Compact"/>
              <w:spacing w:after="20" w:before="20" w:line="240" w:lineRule="auto"/>
            </w:pPr>
            <w:r>
              <w:rPr>
                <w:sz w:val="18"/>
              </w:rPr>
              <w:t xml:space="preserve">31.5</w:t>
            </w:r>
          </w:p>
        </w:tc>
        <w:tc>
          <w:tcPr/>
          <w:p>
            <w:pPr>
              <w:pStyle w:val="Compact"/>
              <w:spacing w:after="20" w:before="20" w:line="240" w:lineRule="auto"/>
            </w:pPr>
            <w:r>
              <w:rPr>
                <w:sz w:val="18"/>
              </w:rPr>
              <w:t xml:space="preserve">56.0</w:t>
            </w:r>
          </w:p>
        </w:tc>
        <w:tc>
          <w:tcPr/>
          <w:p>
            <w:pPr>
              <w:pStyle w:val="Compact"/>
              <w:spacing w:after="20" w:before="20" w:line="240" w:lineRule="auto"/>
            </w:pPr>
            <w:r>
              <w:rPr>
                <w:sz w:val="18"/>
              </w:rPr>
              <w:t xml:space="preserve">62.5</w:t>
            </w:r>
          </w:p>
        </w:tc>
        <w:tc>
          <w:tcPr/>
          <w:p>
            <w:pPr>
              <w:pStyle w:val="Compact"/>
              <w:spacing w:after="20" w:before="20" w:line="240" w:lineRule="auto"/>
            </w:pPr>
            <w:r>
              <w:rPr>
                <w:sz w:val="18"/>
              </w:rPr>
              <w:t xml:space="preserve">0.319</w:t>
            </w:r>
          </w:p>
        </w:tc>
        <w:tc>
          <w:tcPr/>
          <w:p>
            <w:pPr>
              <w:pStyle w:val="Compact"/>
              <w:spacing w:after="20" w:before="20" w:line="240" w:lineRule="auto"/>
            </w:pPr>
            <w:r>
              <w:rPr>
                <w:sz w:val="18"/>
              </w:rPr>
              <w:t xml:space="preserve">0.174</w:t>
            </w:r>
          </w:p>
        </w:tc>
        <w:tc>
          <w:tcPr/>
          <w:p>
            <w:pPr>
              <w:pStyle w:val="Compact"/>
              <w:spacing w:after="20" w:before="20" w:line="240" w:lineRule="auto"/>
            </w:pPr>
            <w:r>
              <w:rPr>
                <w:sz w:val="18"/>
              </w:rPr>
              <w:t xml:space="preserve">0.015</w:t>
            </w:r>
          </w:p>
        </w:tc>
      </w:tr>
      <w:tr>
        <w:tc>
          <w:tcPr/>
          <w:p>
            <w:pPr>
              <w:pStyle w:val="Compact"/>
              <w:spacing w:after="20" w:before="20" w:line="240" w:lineRule="auto"/>
            </w:pPr>
            <w:r>
              <w:rPr>
                <w:sz w:val="18"/>
              </w:rPr>
              <w:t xml:space="preserve">XGB learner alone</w:t>
            </w:r>
          </w:p>
        </w:tc>
        <w:tc>
          <w:tcPr/>
          <w:p>
            <w:pPr>
              <w:pStyle w:val="Compact"/>
              <w:spacing w:after="20" w:before="20" w:line="240" w:lineRule="auto"/>
            </w:pPr>
            <w:r>
              <w:rPr>
                <w:sz w:val="18"/>
              </w:rPr>
              <w:t xml:space="preserve">0.812 [0.776, 0.845]</w:t>
            </w:r>
          </w:p>
        </w:tc>
        <w:tc>
          <w:tcPr/>
          <w:p>
            <w:pPr>
              <w:pStyle w:val="Compact"/>
              <w:spacing w:after="20" w:before="20" w:line="240" w:lineRule="auto"/>
            </w:pPr>
            <w:r>
              <w:rPr>
                <w:sz w:val="18"/>
              </w:rPr>
              <w:t xml:space="preserve">95.3</w:t>
            </w:r>
          </w:p>
        </w:tc>
        <w:tc>
          <w:tcPr/>
          <w:p>
            <w:pPr>
              <w:pStyle w:val="Compact"/>
              <w:spacing w:after="20" w:before="20" w:line="240" w:lineRule="auto"/>
            </w:pPr>
            <w:r>
              <w:rPr>
                <w:sz w:val="18"/>
              </w:rPr>
              <w:t xml:space="preserve">33.3</w:t>
            </w:r>
          </w:p>
        </w:tc>
        <w:tc>
          <w:tcPr/>
          <w:p>
            <w:pPr>
              <w:pStyle w:val="Compact"/>
              <w:spacing w:after="20" w:before="20" w:line="240" w:lineRule="auto"/>
            </w:pPr>
            <w:r>
              <w:rPr>
                <w:sz w:val="18"/>
              </w:rPr>
              <w:t xml:space="preserve">57.2</w:t>
            </w:r>
          </w:p>
        </w:tc>
        <w:tc>
          <w:tcPr/>
          <w:p>
            <w:pPr>
              <w:pStyle w:val="Compact"/>
              <w:spacing w:after="20" w:before="20" w:line="240" w:lineRule="auto"/>
            </w:pPr>
            <w:r>
              <w:rPr>
                <w:sz w:val="18"/>
              </w:rPr>
              <w:t xml:space="preserve">63.1</w:t>
            </w:r>
          </w:p>
        </w:tc>
        <w:tc>
          <w:tcPr/>
          <w:p>
            <w:pPr>
              <w:pStyle w:val="Compact"/>
              <w:spacing w:after="20" w:before="20" w:line="240" w:lineRule="auto"/>
            </w:pPr>
            <w:r>
              <w:rPr>
                <w:sz w:val="18"/>
              </w:rPr>
              <w:t xml:space="preserve">0.335</w:t>
            </w:r>
          </w:p>
        </w:tc>
        <w:tc>
          <w:tcPr/>
          <w:p>
            <w:pPr>
              <w:pStyle w:val="Compact"/>
              <w:spacing w:after="20" w:before="20" w:line="240" w:lineRule="auto"/>
            </w:pPr>
            <w:r>
              <w:rPr>
                <w:sz w:val="18"/>
              </w:rPr>
              <w:t xml:space="preserve">0.169</w:t>
            </w:r>
          </w:p>
        </w:tc>
        <w:tc>
          <w:tcPr/>
          <w:p>
            <w:pPr>
              <w:pStyle w:val="Compact"/>
              <w:spacing w:after="20" w:before="20" w:line="240" w:lineRule="auto"/>
            </w:pPr>
            <w:r>
              <w:rPr>
                <w:sz w:val="18"/>
              </w:rPr>
              <w:t xml:space="preserve">0.019</w:t>
            </w:r>
          </w:p>
        </w:tc>
      </w:tr>
      <w:tr>
        <w:tc>
          <w:tcPr/>
          <w:p>
            <w:pPr>
              <w:pStyle w:val="Compact"/>
              <w:spacing w:after="20" w:before="20" w:line="240" w:lineRule="auto"/>
            </w:pPr>
            <w:r>
              <w:rPr>
                <w:sz w:val="18"/>
              </w:rPr>
              <w:t xml:space="preserve">FSVM learner alone</w:t>
            </w:r>
          </w:p>
        </w:tc>
        <w:tc>
          <w:tcPr/>
          <w:p>
            <w:pPr>
              <w:pStyle w:val="Compact"/>
              <w:spacing w:after="20" w:before="20" w:line="240" w:lineRule="auto"/>
            </w:pPr>
            <w:r>
              <w:rPr>
                <w:sz w:val="18"/>
              </w:rPr>
              <w:t xml:space="preserve">0.788 [0.748, 0.826]</w:t>
            </w:r>
          </w:p>
        </w:tc>
        <w:tc>
          <w:tcPr/>
          <w:p>
            <w:pPr>
              <w:pStyle w:val="Compact"/>
              <w:spacing w:after="20" w:before="20" w:line="240" w:lineRule="auto"/>
            </w:pPr>
            <w:r>
              <w:rPr>
                <w:sz w:val="18"/>
              </w:rPr>
              <w:t xml:space="preserve">91.9</w:t>
            </w:r>
          </w:p>
        </w:tc>
        <w:tc>
          <w:tcPr/>
          <w:p>
            <w:pPr>
              <w:pStyle w:val="Compact"/>
              <w:spacing w:after="20" w:before="20" w:line="240" w:lineRule="auto"/>
            </w:pPr>
            <w:r>
              <w:rPr>
                <w:sz w:val="18"/>
              </w:rPr>
              <w:t xml:space="preserve">22.5</w:t>
            </w:r>
          </w:p>
        </w:tc>
        <w:tc>
          <w:tcPr/>
          <w:p>
            <w:pPr>
              <w:pStyle w:val="Compact"/>
              <w:spacing w:after="20" w:before="20" w:line="240" w:lineRule="auto"/>
            </w:pPr>
            <w:r>
              <w:rPr>
                <w:sz w:val="18"/>
              </w:rPr>
              <w:t xml:space="preserve">49.2</w:t>
            </w:r>
          </w:p>
        </w:tc>
        <w:tc>
          <w:tcPr/>
          <w:p>
            <w:pPr>
              <w:pStyle w:val="Compact"/>
              <w:spacing w:after="20" w:before="20" w:line="240" w:lineRule="auto"/>
            </w:pPr>
            <w:r>
              <w:rPr>
                <w:sz w:val="18"/>
              </w:rPr>
              <w:t xml:space="preserve">58.2</w:t>
            </w:r>
          </w:p>
        </w:tc>
        <w:tc>
          <w:tcPr/>
          <w:p>
            <w:pPr>
              <w:pStyle w:val="Compact"/>
              <w:spacing w:after="20" w:before="20" w:line="240" w:lineRule="auto"/>
            </w:pPr>
            <w:r>
              <w:rPr>
                <w:sz w:val="18"/>
              </w:rPr>
              <w:t xml:space="preserve">0.187</w:t>
            </w:r>
          </w:p>
        </w:tc>
        <w:tc>
          <w:tcPr/>
          <w:p>
            <w:pPr>
              <w:pStyle w:val="Compact"/>
              <w:spacing w:after="20" w:before="20" w:line="240" w:lineRule="auto"/>
            </w:pPr>
            <w:r>
              <w:rPr>
                <w:sz w:val="18"/>
              </w:rPr>
              <w:t xml:space="preserve">0.177</w:t>
            </w:r>
          </w:p>
        </w:tc>
        <w:tc>
          <w:tcPr/>
          <w:p>
            <w:pPr>
              <w:pStyle w:val="Compact"/>
              <w:spacing w:after="20" w:before="20" w:line="240" w:lineRule="auto"/>
            </w:pPr>
            <w:r>
              <w:rPr>
                <w:sz w:val="18"/>
              </w:rPr>
              <w:t xml:space="preserve">0.011</w:t>
            </w:r>
          </w:p>
        </w:tc>
      </w:tr>
      <w:tr>
        <w:tc>
          <w:tcPr/>
          <w:p>
            <w:pPr>
              <w:pStyle w:val="Compact"/>
              <w:spacing w:after="20" w:before="20" w:line="240" w:lineRule="auto"/>
            </w:pPr>
            <w:r>
              <w:rPr>
                <w:sz w:val="18"/>
              </w:rPr>
              <w:t xml:space="preserve">TAMES AI</w:t>
            </w:r>
          </w:p>
        </w:tc>
        <w:tc>
          <w:tcPr/>
          <w:p>
            <w:pPr>
              <w:pStyle w:val="Compact"/>
              <w:spacing w:after="20" w:before="20" w:line="240" w:lineRule="auto"/>
            </w:pPr>
            <w:r>
              <w:rPr>
                <w:sz w:val="18"/>
              </w:rPr>
              <w:t xml:space="preserve">0.815 [0.779, 0.848]</w:t>
            </w:r>
          </w:p>
        </w:tc>
        <w:tc>
          <w:tcPr/>
          <w:p>
            <w:pPr>
              <w:pStyle w:val="Compact"/>
              <w:spacing w:after="20" w:before="20" w:line="240" w:lineRule="auto"/>
            </w:pPr>
            <w:r>
              <w:rPr>
                <w:sz w:val="18"/>
              </w:rPr>
              <w:t xml:space="preserve">94.9</w:t>
            </w:r>
          </w:p>
        </w:tc>
        <w:tc>
          <w:tcPr/>
          <w:p>
            <w:pPr>
              <w:pStyle w:val="Compact"/>
              <w:spacing w:after="20" w:before="20" w:line="240" w:lineRule="auto"/>
            </w:pPr>
            <w:r>
              <w:rPr>
                <w:sz w:val="18"/>
              </w:rPr>
              <w:t xml:space="preserve">32.3</w:t>
            </w:r>
          </w:p>
        </w:tc>
        <w:tc>
          <w:tcPr/>
          <w:p>
            <w:pPr>
              <w:pStyle w:val="Compact"/>
              <w:spacing w:after="20" w:before="20" w:line="240" w:lineRule="auto"/>
            </w:pPr>
            <w:r>
              <w:rPr>
                <w:sz w:val="18"/>
              </w:rPr>
              <w:t xml:space="preserve">56.4</w:t>
            </w:r>
          </w:p>
        </w:tc>
        <w:tc>
          <w:tcPr/>
          <w:p>
            <w:pPr>
              <w:pStyle w:val="Compact"/>
              <w:spacing w:after="20" w:before="20" w:line="240" w:lineRule="auto"/>
            </w:pPr>
            <w:r>
              <w:rPr>
                <w:sz w:val="18"/>
              </w:rPr>
              <w:t xml:space="preserve">62.6</w:t>
            </w:r>
          </w:p>
        </w:tc>
        <w:tc>
          <w:tcPr/>
          <w:p>
            <w:pPr>
              <w:pStyle w:val="Compact"/>
              <w:spacing w:after="20" w:before="20" w:line="240" w:lineRule="auto"/>
            </w:pPr>
            <w:r>
              <w:rPr>
                <w:sz w:val="18"/>
              </w:rPr>
              <w:t xml:space="preserve">0.320</w:t>
            </w:r>
          </w:p>
        </w:tc>
        <w:tc>
          <w:tcPr/>
          <w:p>
            <w:pPr>
              <w:pStyle w:val="Compact"/>
              <w:spacing w:after="20" w:before="20" w:line="240" w:lineRule="auto"/>
            </w:pPr>
            <w:r>
              <w:rPr>
                <w:sz w:val="18"/>
              </w:rPr>
              <w:t xml:space="preserve">0.169</w:t>
            </w:r>
          </w:p>
        </w:tc>
        <w:tc>
          <w:tcPr/>
          <w:p>
            <w:pPr>
              <w:pStyle w:val="Compact"/>
              <w:spacing w:after="20" w:before="20" w:line="240" w:lineRule="auto"/>
            </w:pPr>
            <w:r>
              <w:rPr>
                <w:sz w:val="18"/>
              </w:rPr>
              <w:t xml:space="preserve">0.020</w:t>
            </w:r>
          </w:p>
        </w:tc>
      </w:tr>
    </w:tbl>
    <w:p>
      <w:pPr>
        <w:pStyle w:val="FirstParagraph"/>
      </w:pPr>
      <w:r>
        <w:t xml:space="preserve">TAMES AI did not outperform the image-only CNN (ΔAUC −0.015 [−0.032, +0.003], DeLong p = 0.10, Holm p = 0.50) or the late fusion (ΔAUC +0.012 [−0.008, +0.033], p = 0.24, Holm p = 0.73); McNemar tests on sensitivity and specificity at the fixed thresholds gave p = 0.69 and 0.90. The descriptor-only model was clearly weaker (ΔAUC +0.131 for TAMES AI, p &lt; 0.001), so the image carries most of the signal when an expert delineation is available; the late fusion’s operating point traded sensitivity (92.4 %) for a higher specificity (50.8 %). Figure 4a shows the ROC curves. The learned ensemble weights, averaged over seeds, were</w:t>
      </w:r>
      <w:r>
        <w:t xml:space="preserve"> </w:t>
      </w:r>
      <m:oMath>
        <m:sSub>
          <m:e>
            <m:r>
              <m:t>ω</m:t>
            </m:r>
          </m:e>
          <m:sub>
            <m:r>
              <m:t>D</m:t>
            </m:r>
            <m:r>
              <m:t>L</m:t>
            </m:r>
          </m:sub>
        </m:sSub>
      </m:oMath>
      <w:r>
        <w:t xml:space="preserve"> </w:t>
      </w:r>
      <w:r>
        <w:t xml:space="preserve">= 0.16,</w:t>
      </w:r>
      <w:r>
        <w:t xml:space="preserve"> </w:t>
      </w:r>
      <m:oMath>
        <m:sSub>
          <m:e>
            <m:r>
              <m:t>ω</m:t>
            </m:r>
          </m:e>
          <m:sub>
            <m:r>
              <m:t>R</m:t>
            </m:r>
            <m:r>
              <m:t>F</m:t>
            </m:r>
          </m:sub>
        </m:sSub>
      </m:oMath>
      <w:r>
        <w:t xml:space="preserve"> </w:t>
      </w:r>
      <w:r>
        <w:t xml:space="preserve">= 0.05,</w:t>
      </w:r>
      <w:r>
        <w:t xml:space="preserve"> </w:t>
      </w:r>
      <m:oMath>
        <m:sSub>
          <m:e>
            <m:r>
              <m:t>ω</m:t>
            </m:r>
          </m:e>
          <m:sub>
            <m:r>
              <m:t>X</m:t>
            </m:r>
            <m:r>
              <m:t>G</m:t>
            </m:r>
            <m:r>
              <m:t>B</m:t>
            </m:r>
          </m:sub>
        </m:sSub>
      </m:oMath>
      <w:r>
        <w:t xml:space="preserve"> </w:t>
      </w:r>
      <w:r>
        <w:t xml:space="preserve">= 0.37,</w:t>
      </w:r>
      <w:r>
        <w:t xml:space="preserve"> </w:t>
      </w:r>
      <m:oMath>
        <m:sSub>
          <m:e>
            <m:r>
              <m:t>ω</m:t>
            </m:r>
          </m:e>
          <m:sub>
            <m:r>
              <m:t>F</m:t>
            </m:r>
            <m:r>
              <m:t>S</m:t>
            </m:r>
            <m:r>
              <m:t>V</m:t>
            </m:r>
            <m:r>
              <m:t>M</m:t>
            </m:r>
          </m:sub>
        </m:sSub>
      </m:oMath>
      <w:r>
        <w:t xml:space="preserve"> </w:t>
      </w:r>
      <w:r>
        <w:t xml:space="preserve">= 0.42 at τ = 0.05, i.e. the ensemble leaned on the two learners with the lowest validation log-loss. The single-seed AUCs were lower for every model (mean 0.774 for TAMES AI, 0.804 for the image-only CNN; Supplementary Table S3): averaging the five seeds adds about 0.03–0.04 AUC to each model alike, so the comparisons above are unaffected by it.</w:t>
      </w:r>
    </w:p>
    <w:p>
      <w:pPr>
        <w:pStyle w:val="BodyText"/>
      </w:pPr>
      <w:r>
        <w:drawing>
          <wp:inline>
            <wp:extent cx="5334000" cy="2668367"/>
            <wp:effectExtent b="0" l="0" r="0" t="0"/>
            <wp:docPr descr="" title="" id="41" name="Picture"/>
            <a:graphic>
              <a:graphicData uri="http://schemas.openxmlformats.org/drawingml/2006/picture">
                <pic:pic>
                  <pic:nvPicPr>
                    <pic:cNvPr descr="figures/fig4_roc.png" id="42" name="Picture"/>
                    <pic:cNvPicPr>
                      <a:picLocks noChangeArrowheads="1" noChangeAspect="1"/>
                    </pic:cNvPicPr>
                  </pic:nvPicPr>
                  <pic:blipFill>
                    <a:blip r:embed="rId40"/>
                    <a:stretch>
                      <a:fillRect/>
                    </a:stretch>
                  </pic:blipFill>
                  <pic:spPr bwMode="auto">
                    <a:xfrm>
                      <a:off x="0" y="0"/>
                      <a:ext cx="5334000" cy="2668367"/>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ROC curves on the official test set (614 images, five seeds pooled); AUC with 95 % bootstrap CI in the legend. (a) Expert delineation (Table 3). (b) Fully automatic setting, crop and descriptors taken from the Otsu-binarized map F (Table 5). Thin grey lines: the four base learners of TAMES AI scored alone.</w:t>
      </w:r>
    </w:p>
    <w:p>
      <w:pPr>
        <w:pStyle w:val="Heading1"/>
      </w:pPr>
      <w:bookmarkStart w:id="43" w:name="_ablation"/>
      <w:r>
        <w:t xml:space="preserve">5.4 Ablation</w:t>
      </w:r>
      <w:bookmarkEnd w:id="43"/>
    </w:p>
    <w:p>
      <w:pPr>
        <w:pStyle w:val="FirstParagraph"/>
      </w:pPr>
      <w:r>
        <w:rPr>
          <w:b/>
          <w:bCs/>
        </w:rPr>
        <w:t xml:space="preserve">Table 4.</w:t>
      </w:r>
      <w:r>
        <w:t xml:space="preserve"> </w:t>
      </w:r>
      <w:r>
        <w:t xml:space="preserve">Change in test AUC when one component is removed and the rest re-tuned (expert delineation, five seeds); paired bootstrap CIs and DeLong p against the full model.</w:t>
      </w:r>
    </w:p>
    <w:tbl>
      <w:tblPr>
        <w:tblStyle w:val="Table"/>
        <w:tblW w:type="pct" w:w="5000"/>
        <w:tblLayout w:type="fixed"/>
        <w:tblLook w:firstRow="1" w:lastRow="0" w:firstColumn="0" w:lastColumn="0" w:noHBand="0" w:noVBand="0" w:val="0020"/>
      </w:tblPr>
      <w:tblGrid>
        <w:gridCol w:w="2359"/>
        <w:gridCol w:w="2359"/>
        <w:gridCol w:w="2359"/>
        <w:gridCol w:w="842"/>
      </w:tblGrid>
      <w:tr>
        <w:trPr>
          <w:tblHeader w:val="on"/>
        </w:trPr>
        <w:tc>
          <w:tcPr/>
          <w:p>
            <w:pPr>
              <w:pStyle w:val="Compact"/>
              <w:spacing w:after="20" w:before="20" w:line="240" w:lineRule="auto"/>
            </w:pPr>
            <w:r>
              <w:rPr>
                <w:sz w:val="18"/>
              </w:rPr>
              <w:t xml:space="preserve">Removed component</w:t>
            </w:r>
          </w:p>
        </w:tc>
        <w:tc>
          <w:tcPr/>
          <w:p>
            <w:pPr>
              <w:pStyle w:val="Compact"/>
              <w:spacing w:after="20" w:before="20" w:line="240" w:lineRule="auto"/>
            </w:pPr>
            <w:r>
              <w:rPr>
                <w:sz w:val="18"/>
              </w:rPr>
              <w:t xml:space="preserve">AUC</w:t>
            </w:r>
          </w:p>
        </w:tc>
        <w:tc>
          <w:tcPr/>
          <w:p>
            <w:pPr>
              <w:pStyle w:val="Compact"/>
              <w:spacing w:after="20" w:before="20" w:line="240" w:lineRule="auto"/>
            </w:pPr>
            <w:r>
              <w:rPr>
                <w:sz w:val="18"/>
              </w:rPr>
              <w:t xml:space="preserve">ΔAUC vs full model [95 % CI]</w:t>
            </w:r>
          </w:p>
        </w:tc>
        <w:tc>
          <w:tcPr/>
          <w:p>
            <w:pPr>
              <w:pStyle w:val="Compact"/>
              <w:spacing w:after="20" w:before="20" w:line="240" w:lineRule="auto"/>
            </w:pPr>
            <w:r>
              <w:rPr>
                <w:sz w:val="18"/>
              </w:rPr>
              <w:t xml:space="preserve">DeLong p</w:t>
            </w:r>
          </w:p>
        </w:tc>
      </w:tr>
      <w:tr>
        <w:tc>
          <w:tcPr/>
          <w:p>
            <w:pPr>
              <w:pStyle w:val="Compact"/>
              <w:spacing w:after="20" w:before="20" w:line="240" w:lineRule="auto"/>
            </w:pPr>
            <w:r>
              <w:rPr>
                <w:sz w:val="18"/>
              </w:rPr>
              <w:t xml:space="preserve">None (full TAMES AI)</w:t>
            </w:r>
          </w:p>
        </w:tc>
        <w:tc>
          <w:tcPr/>
          <w:p>
            <w:pPr>
              <w:pStyle w:val="Compact"/>
              <w:spacing w:after="20" w:before="20" w:line="240" w:lineRule="auto"/>
            </w:pPr>
            <w:r>
              <w:rPr>
                <w:sz w:val="18"/>
              </w:rPr>
              <w:t xml:space="preserve">0.815</w:t>
            </w:r>
          </w:p>
        </w:tc>
        <w:tc>
          <w:tcPr/>
          <w:p>
            <w:pPr>
              <w:pStyle w:val="Compact"/>
              <w:spacing w:after="20" w:before="20" w:line="240" w:lineRule="auto"/>
            </w:pPr>
            <w:r>
              <w:rPr>
                <w:sz w:val="18"/>
              </w:rPr>
              <w:t xml:space="preserve">—</w:t>
            </w:r>
          </w:p>
        </w:tc>
        <w:tc>
          <w:tcPr/>
          <w:p>
            <w:pPr>
              <w:pStyle w:val="Compact"/>
              <w:spacing w:after="20" w:before="20" w:line="240" w:lineRule="auto"/>
            </w:pPr>
            <w:r>
              <w:rPr>
                <w:sz w:val="18"/>
              </w:rPr>
              <w:t xml:space="preserve">—</w:t>
            </w:r>
          </w:p>
        </w:tc>
      </w:tr>
      <w:tr>
        <w:tc>
          <w:tcPr/>
          <w:p>
            <w:pPr>
              <w:pStyle w:val="Compact"/>
              <w:spacing w:after="20" w:before="20" w:line="240" w:lineRule="auto"/>
            </w:pPr>
            <w:r>
              <w:rPr>
                <w:sz w:val="18"/>
              </w:rPr>
              <w:t xml:space="preserve">(a) AFMO (F replaced by μ)</w:t>
            </w:r>
          </w:p>
        </w:tc>
        <w:tc>
          <w:tcPr/>
          <w:p>
            <w:pPr>
              <w:pStyle w:val="Compact"/>
              <w:spacing w:after="20" w:before="20" w:line="240" w:lineRule="auto"/>
            </w:pPr>
            <w:r>
              <w:rPr>
                <w:sz w:val="18"/>
              </w:rPr>
              <w:t xml:space="preserve">0.808</w:t>
            </w:r>
          </w:p>
        </w:tc>
        <w:tc>
          <w:tcPr/>
          <w:p>
            <w:pPr>
              <w:pStyle w:val="Compact"/>
              <w:spacing w:after="20" w:before="20" w:line="240" w:lineRule="auto"/>
            </w:pPr>
            <w:r>
              <w:rPr>
                <w:sz w:val="18"/>
              </w:rPr>
              <w:t xml:space="preserve">−0.007 [−0.024, +0.012]</w:t>
            </w:r>
          </w:p>
        </w:tc>
        <w:tc>
          <w:tcPr/>
          <w:p>
            <w:pPr>
              <w:pStyle w:val="Compact"/>
              <w:spacing w:after="20" w:before="20" w:line="240" w:lineRule="auto"/>
            </w:pPr>
            <w:r>
              <w:rPr>
                <w:sz w:val="18"/>
              </w:rPr>
              <w:t xml:space="preserve">0.47</w:t>
            </w:r>
          </w:p>
        </w:tc>
      </w:tr>
      <w:tr>
        <w:tc>
          <w:tcPr/>
          <w:p>
            <w:pPr>
              <w:pStyle w:val="Compact"/>
              <w:spacing w:after="20" w:before="20" w:line="240" w:lineRule="auto"/>
            </w:pPr>
            <w:r>
              <w:rPr>
                <w:sz w:val="18"/>
              </w:rPr>
              <w:t xml:space="preserve">(b) ATCFM (plain Gaussian membership)</w:t>
            </w:r>
          </w:p>
        </w:tc>
        <w:tc>
          <w:tcPr/>
          <w:p>
            <w:pPr>
              <w:pStyle w:val="Compact"/>
              <w:spacing w:after="20" w:before="20" w:line="240" w:lineRule="auto"/>
            </w:pPr>
            <w:r>
              <w:rPr>
                <w:sz w:val="18"/>
              </w:rPr>
              <w:t xml:space="preserve">0.801</w:t>
            </w:r>
          </w:p>
        </w:tc>
        <w:tc>
          <w:tcPr/>
          <w:p>
            <w:pPr>
              <w:pStyle w:val="Compact"/>
              <w:spacing w:after="20" w:before="20" w:line="240" w:lineRule="auto"/>
            </w:pPr>
            <w:r>
              <w:rPr>
                <w:sz w:val="18"/>
              </w:rPr>
              <w:t xml:space="preserve">−0.014 [−0.030, +0.002]</w:t>
            </w:r>
          </w:p>
        </w:tc>
        <w:tc>
          <w:tcPr/>
          <w:p>
            <w:pPr>
              <w:pStyle w:val="Compact"/>
              <w:spacing w:after="20" w:before="20" w:line="240" w:lineRule="auto"/>
            </w:pPr>
            <w:r>
              <w:rPr>
                <w:sz w:val="18"/>
              </w:rPr>
              <w:t xml:space="preserve">0.08</w:t>
            </w:r>
          </w:p>
        </w:tc>
      </w:tr>
      <w:tr>
        <w:tc>
          <w:tcPr/>
          <w:p>
            <w:pPr>
              <w:pStyle w:val="Compact"/>
              <w:spacing w:after="20" w:before="20" w:line="240" w:lineRule="auto"/>
            </w:pPr>
            <w:r>
              <w:rPr>
                <w:sz w:val="18"/>
              </w:rPr>
              <w:t xml:space="preserve">(c) Quality coefficients (</w:t>
            </w:r>
            <m:oMath>
              <m:sSub>
                <m:e>
                  <m:r>
                    <m:t>Q</m:t>
                  </m:r>
                </m:e>
                <m:sub>
                  <m:r>
                    <m:t>m</m:t>
                  </m:r>
                </m:sub>
              </m:sSub>
            </m:oMath>
            <w:r>
              <w:rPr>
                <w:sz w:val="18"/>
              </w:rPr>
              <w:t xml:space="preserve"> </w:t>
            </w:r>
            <w:r>
              <w:rPr>
                <w:sz w:val="18"/>
              </w:rPr>
              <w:t xml:space="preserve">= 1)</w:t>
            </w:r>
          </w:p>
        </w:tc>
        <w:tc>
          <w:tcPr/>
          <w:p>
            <w:pPr>
              <w:pStyle w:val="Compact"/>
              <w:spacing w:after="20" w:before="20" w:line="240" w:lineRule="auto"/>
            </w:pPr>
            <w:r>
              <w:rPr>
                <w:sz w:val="18"/>
              </w:rPr>
              <w:t xml:space="preserve">0.810</w:t>
            </w:r>
          </w:p>
        </w:tc>
        <w:tc>
          <w:tcPr/>
          <w:p>
            <w:pPr>
              <w:pStyle w:val="Compact"/>
              <w:spacing w:after="20" w:before="20" w:line="240" w:lineRule="auto"/>
            </w:pPr>
            <w:r>
              <w:rPr>
                <w:sz w:val="18"/>
              </w:rPr>
              <w:t xml:space="preserve">−0.004 [−0.020, +0.010]</w:t>
            </w:r>
          </w:p>
        </w:tc>
        <w:tc>
          <w:tcPr/>
          <w:p>
            <w:pPr>
              <w:pStyle w:val="Compact"/>
              <w:spacing w:after="20" w:before="20" w:line="240" w:lineRule="auto"/>
            </w:pPr>
            <w:r>
              <w:rPr>
                <w:sz w:val="18"/>
              </w:rPr>
              <w:t xml:space="preserve">0.55</w:t>
            </w:r>
          </w:p>
        </w:tc>
      </w:tr>
      <w:tr>
        <w:tc>
          <w:tcPr/>
          <w:p>
            <w:pPr>
              <w:pStyle w:val="Compact"/>
              <w:spacing w:after="20" w:before="20" w:line="240" w:lineRule="auto"/>
            </w:pPr>
            <w:r>
              <w:rPr>
                <w:sz w:val="18"/>
              </w:rPr>
              <w:t xml:space="preserve">(d) Regional inputs</w:t>
            </w:r>
          </w:p>
        </w:tc>
        <w:tc>
          <w:tcPr/>
          <w:p>
            <w:pPr>
              <w:pStyle w:val="Compact"/>
              <w:spacing w:after="20" w:before="20" w:line="240" w:lineRule="auto"/>
            </w:pPr>
            <w:r>
              <w:rPr>
                <w:sz w:val="18"/>
              </w:rPr>
              <w:t xml:space="preserve">not applicable on TN3K (</w:t>
            </w:r>
            <m:oMath>
              <m:sSub>
                <m:e>
                  <m:r>
                    <m:rPr>
                      <m:sty m:val="p"/>
                    </m:rPr>
                    <m:t>Δ</m:t>
                  </m:r>
                </m:e>
                <m:sub>
                  <m:r>
                    <m:t>r</m:t>
                  </m:r>
                  <m:r>
                    <m:t>e</m:t>
                  </m:r>
                  <m:r>
                    <m:t>g</m:t>
                  </m:r>
                </m:sub>
              </m:sSub>
            </m:oMath>
            <w:r>
              <w:rPr>
                <w:sz w:val="18"/>
              </w:rPr>
              <w:t xml:space="preserve"> </w:t>
            </w:r>
            <w:r>
              <w:rPr>
                <w:sz w:val="18"/>
              </w:rPr>
              <w:t xml:space="preserve">= 0)</w:t>
            </w:r>
          </w:p>
        </w:tc>
        <w:tc>
          <w:tcPr/>
          <w:p>
            <w:pPr>
              <w:pStyle w:val="Compact"/>
              <w:spacing w:after="20" w:before="20" w:line="240" w:lineRule="auto"/>
            </w:pPr>
            <w:r>
              <w:rPr>
                <w:sz w:val="18"/>
              </w:rPr>
              <w:t xml:space="preserve">—</w:t>
            </w:r>
          </w:p>
        </w:tc>
        <w:tc>
          <w:tcPr/>
          <w:p>
            <w:pPr>
              <w:pStyle w:val="Compact"/>
              <w:spacing w:after="20" w:before="20" w:line="240" w:lineRule="auto"/>
            </w:pPr>
            <w:r>
              <w:rPr>
                <w:sz w:val="18"/>
              </w:rPr>
              <w:t xml:space="preserve">—</w:t>
            </w:r>
          </w:p>
        </w:tc>
      </w:tr>
      <w:tr>
        <w:tc>
          <w:tcPr/>
          <w:p>
            <w:pPr>
              <w:pStyle w:val="Compact"/>
              <w:spacing w:after="20" w:before="20" w:line="240" w:lineRule="auto"/>
            </w:pPr>
            <w:r>
              <w:rPr>
                <w:sz w:val="18"/>
              </w:rPr>
              <w:t xml:space="preserve">(e) Adaptive weights (equal</w:t>
            </w:r>
            <w:r>
              <w:rPr>
                <w:sz w:val="18"/>
              </w:rPr>
              <w:t xml:space="preserve"> </w:t>
            </w:r>
            <m:oMath>
              <m:sSub>
                <m:e>
                  <m:r>
                    <m:t>ω</m:t>
                  </m:r>
                </m:e>
                <m:sub>
                  <m:r>
                    <m:t>k</m:t>
                  </m:r>
                </m:sub>
              </m:sSub>
            </m:oMath>
            <w:r>
              <w:rPr>
                <w:sz w:val="18"/>
              </w:rPr>
              <w:t xml:space="preserve">)</w:t>
            </w:r>
          </w:p>
        </w:tc>
        <w:tc>
          <w:tcPr/>
          <w:p>
            <w:pPr>
              <w:pStyle w:val="Compact"/>
              <w:spacing w:after="20" w:before="20" w:line="240" w:lineRule="auto"/>
            </w:pPr>
            <w:r>
              <w:rPr>
                <w:sz w:val="18"/>
              </w:rPr>
              <w:t xml:space="preserve">0.816</w:t>
            </w:r>
          </w:p>
        </w:tc>
        <w:tc>
          <w:tcPr/>
          <w:p>
            <w:pPr>
              <w:pStyle w:val="Compact"/>
              <w:spacing w:after="20" w:before="20" w:line="240" w:lineRule="auto"/>
            </w:pPr>
            <w:r>
              <w:rPr>
                <w:sz w:val="18"/>
              </w:rPr>
              <w:t xml:space="preserve">+0.001 [−0.002, +0.005]</w:t>
            </w:r>
          </w:p>
        </w:tc>
        <w:tc>
          <w:tcPr/>
          <w:p>
            <w:pPr>
              <w:pStyle w:val="Compact"/>
              <w:spacing w:after="20" w:before="20" w:line="240" w:lineRule="auto"/>
            </w:pPr>
            <w:r>
              <w:rPr>
                <w:sz w:val="18"/>
              </w:rPr>
              <w:t xml:space="preserve">0.46</w:t>
            </w:r>
          </w:p>
        </w:tc>
      </w:tr>
      <w:tr>
        <w:tc>
          <w:tcPr/>
          <w:p>
            <w:pPr>
              <w:pStyle w:val="Compact"/>
              <w:spacing w:after="20" w:before="20" w:line="240" w:lineRule="auto"/>
            </w:pPr>
            <w:r>
              <w:rPr>
                <w:sz w:val="18"/>
              </w:rPr>
              <w:t xml:space="preserve">(f) DL learner</w:t>
            </w:r>
          </w:p>
        </w:tc>
        <w:tc>
          <w:tcPr/>
          <w:p>
            <w:pPr>
              <w:pStyle w:val="Compact"/>
              <w:spacing w:after="20" w:before="20" w:line="240" w:lineRule="auto"/>
            </w:pPr>
            <w:r>
              <w:rPr>
                <w:sz w:val="18"/>
              </w:rPr>
              <w:t xml:space="preserve">0.811</w:t>
            </w:r>
          </w:p>
        </w:tc>
        <w:tc>
          <w:tcPr/>
          <w:p>
            <w:pPr>
              <w:pStyle w:val="Compact"/>
              <w:spacing w:after="20" w:before="20" w:line="240" w:lineRule="auto"/>
            </w:pPr>
            <w:r>
              <w:rPr>
                <w:sz w:val="18"/>
              </w:rPr>
              <w:t xml:space="preserve">−0.003 [−0.007, +0.000]</w:t>
            </w:r>
          </w:p>
        </w:tc>
        <w:tc>
          <w:tcPr/>
          <w:p>
            <w:pPr>
              <w:pStyle w:val="Compact"/>
              <w:spacing w:after="20" w:before="20" w:line="240" w:lineRule="auto"/>
            </w:pPr>
            <w:r>
              <w:rPr>
                <w:sz w:val="18"/>
              </w:rPr>
              <w:t xml:space="preserve">0.06</w:t>
            </w:r>
          </w:p>
        </w:tc>
      </w:tr>
      <w:tr>
        <w:tc>
          <w:tcPr/>
          <w:p>
            <w:pPr>
              <w:pStyle w:val="Compact"/>
              <w:spacing w:after="20" w:before="20" w:line="240" w:lineRule="auto"/>
            </w:pPr>
            <w:r>
              <w:rPr>
                <w:sz w:val="18"/>
              </w:rPr>
              <w:t xml:space="preserve">(f) RF learner</w:t>
            </w:r>
          </w:p>
        </w:tc>
        <w:tc>
          <w:tcPr/>
          <w:p>
            <w:pPr>
              <w:pStyle w:val="Compact"/>
              <w:spacing w:after="20" w:before="20" w:line="240" w:lineRule="auto"/>
            </w:pPr>
            <w:r>
              <w:rPr>
                <w:sz w:val="18"/>
              </w:rPr>
              <w:t xml:space="preserve">0.815</w:t>
            </w:r>
          </w:p>
        </w:tc>
        <w:tc>
          <w:tcPr/>
          <w:p>
            <w:pPr>
              <w:pStyle w:val="Compact"/>
              <w:spacing w:after="20" w:before="20" w:line="240" w:lineRule="auto"/>
            </w:pPr>
            <w:r>
              <w:rPr>
                <w:sz w:val="18"/>
              </w:rPr>
              <w:t xml:space="preserve">+0.000 [−0.001, +0.001]</w:t>
            </w:r>
          </w:p>
        </w:tc>
        <w:tc>
          <w:tcPr/>
          <w:p>
            <w:pPr>
              <w:pStyle w:val="Compact"/>
              <w:spacing w:after="20" w:before="20" w:line="240" w:lineRule="auto"/>
            </w:pPr>
            <w:r>
              <w:rPr>
                <w:sz w:val="18"/>
              </w:rPr>
              <w:t xml:space="preserve">0.80</w:t>
            </w:r>
          </w:p>
        </w:tc>
      </w:tr>
      <w:tr>
        <w:tc>
          <w:tcPr/>
          <w:p>
            <w:pPr>
              <w:pStyle w:val="Compact"/>
              <w:spacing w:after="20" w:before="20" w:line="240" w:lineRule="auto"/>
            </w:pPr>
            <w:r>
              <w:rPr>
                <w:sz w:val="18"/>
              </w:rPr>
              <w:t xml:space="preserve">(f) XGB learner</w:t>
            </w:r>
          </w:p>
        </w:tc>
        <w:tc>
          <w:tcPr/>
          <w:p>
            <w:pPr>
              <w:pStyle w:val="Compact"/>
              <w:spacing w:after="20" w:before="20" w:line="240" w:lineRule="auto"/>
            </w:pPr>
            <w:r>
              <w:rPr>
                <w:sz w:val="18"/>
              </w:rPr>
              <w:t xml:space="preserve">0.816</w:t>
            </w:r>
          </w:p>
        </w:tc>
        <w:tc>
          <w:tcPr/>
          <w:p>
            <w:pPr>
              <w:pStyle w:val="Compact"/>
              <w:spacing w:after="20" w:before="20" w:line="240" w:lineRule="auto"/>
            </w:pPr>
            <w:r>
              <w:rPr>
                <w:sz w:val="18"/>
              </w:rPr>
              <w:t xml:space="preserve">+0.001 [−0.002, +0.004]</w:t>
            </w:r>
          </w:p>
        </w:tc>
        <w:tc>
          <w:tcPr/>
          <w:p>
            <w:pPr>
              <w:pStyle w:val="Compact"/>
              <w:spacing w:after="20" w:before="20" w:line="240" w:lineRule="auto"/>
            </w:pPr>
            <w:r>
              <w:rPr>
                <w:sz w:val="18"/>
              </w:rPr>
              <w:t xml:space="preserve">0.56</w:t>
            </w:r>
          </w:p>
        </w:tc>
      </w:tr>
      <w:tr>
        <w:tc>
          <w:tcPr/>
          <w:p>
            <w:pPr>
              <w:pStyle w:val="Compact"/>
              <w:spacing w:after="20" w:before="20" w:line="240" w:lineRule="auto"/>
            </w:pPr>
            <w:r>
              <w:rPr>
                <w:sz w:val="18"/>
              </w:rPr>
              <w:t xml:space="preserve">(f) FSVM learner</w:t>
            </w:r>
          </w:p>
        </w:tc>
        <w:tc>
          <w:tcPr/>
          <w:p>
            <w:pPr>
              <w:pStyle w:val="Compact"/>
              <w:spacing w:after="20" w:before="20" w:line="240" w:lineRule="auto"/>
            </w:pPr>
            <w:r>
              <w:rPr>
                <w:sz w:val="18"/>
              </w:rPr>
              <w:t xml:space="preserve">0.816</w:t>
            </w:r>
          </w:p>
        </w:tc>
        <w:tc>
          <w:tcPr/>
          <w:p>
            <w:pPr>
              <w:pStyle w:val="Compact"/>
              <w:spacing w:after="20" w:before="20" w:line="240" w:lineRule="auto"/>
            </w:pPr>
            <w:r>
              <w:rPr>
                <w:sz w:val="18"/>
              </w:rPr>
              <w:t xml:space="preserve">+0.001 [−0.004, +0.005]</w:t>
            </w:r>
          </w:p>
        </w:tc>
        <w:tc>
          <w:tcPr/>
          <w:p>
            <w:pPr>
              <w:pStyle w:val="Compact"/>
              <w:spacing w:after="20" w:before="20" w:line="240" w:lineRule="auto"/>
            </w:pPr>
            <w:r>
              <w:rPr>
                <w:sz w:val="18"/>
              </w:rPr>
              <w:t xml:space="preserve">0.74</w:t>
            </w:r>
          </w:p>
        </w:tc>
      </w:tr>
    </w:tbl>
    <w:p>
      <w:pPr>
        <w:pStyle w:val="FirstParagraph"/>
      </w:pPr>
      <w:r>
        <w:t xml:space="preserve">No component changed the AUC by more than 0.014; the largest loss followed removal of the adaptive membership function (−0.014 [−0.030, +0.002], p = 0.08), and replacing the adaptive weights by equal weights changed nothing. On clean images with an expert delineation the components are therefore redundant with what the backbone learns from the image itself.</w:t>
      </w:r>
    </w:p>
    <w:p>
      <w:pPr>
        <w:pStyle w:val="Heading1"/>
      </w:pPr>
      <w:bookmarkStart w:id="44" w:name="_9c6a33297b570516ea04983e7c6c7fbe8e9e8a0"/>
      <w:r>
        <w:t xml:space="preserve">5.5 E1 — Fully automatic inference without the expert delineation</w:t>
      </w:r>
      <w:bookmarkEnd w:id="44"/>
    </w:p>
    <w:p>
      <w:pPr>
        <w:pStyle w:val="FirstParagraph"/>
      </w:pPr>
      <w:r>
        <w:t xml:space="preserve">When the crop and the descriptors were taken from the Otsu-binarized fuzzy map instead of the radiologist mask, 536 of 614 test crops changed (mean absolute change in area fraction 0.50), and the descriptor-only model fell to an AUC of 0.588, showing how much the descriptors depended on the manual delineation. Under this condition TAMES AI reached an AUC of 0.823 [0.787, 0.855] against 0.805 [0.770, 0.839] for the image-only CNN (ΔAUC +0.017 [−0.003, +0.037], DeLong p = 0.09, Holm p = 0.36) and 0.785 [0.747, 0.820] for the late fusion (ΔAUC +0.038 [+0.014, +0.061], p = 0.002, Holm p = 0.010). Relative to the expert-delineation setting, TAMES AI changed by +0.008 AUC, the image-only CNN by −0.025 and the late fusion by −0.017: TAMES AI was the only model whose accuracy did not depend on the source of the delineation. The fused learners carried this result — the DL head, RF and XGB on z reached 0.824, 0.824 and 0.828 on their own — and the ensemble added nothing beyond them. Figure 4b shows the ROC curves under this condition.</w:t>
      </w:r>
    </w:p>
    <w:p>
      <w:pPr>
        <w:pStyle w:val="BodyText"/>
      </w:pPr>
      <w:r>
        <w:rPr>
          <w:b/>
          <w:bCs/>
        </w:rPr>
        <w:t xml:space="preserve">Table 5.</w:t>
      </w:r>
      <w:r>
        <w:t xml:space="preserve"> </w:t>
      </w:r>
      <w:r>
        <w:t xml:space="preserve">Fully automatic setting (crop and descriptors from F), official test set, five seeds pooled; 95 % bootstrap CIs in brackets.</w:t>
      </w:r>
    </w:p>
    <w:tbl>
      <w:tblPr>
        <w:tblStyle w:val="Table"/>
        <w:tblW w:type="pct" w:w="5000"/>
        <w:tblLayout w:type="fixed"/>
        <w:tblLook w:firstRow="1" w:lastRow="0" w:firstColumn="0" w:lastColumn="0" w:noHBand="0" w:noVBand="0" w:val="0020"/>
      </w:tblPr>
      <w:tblGrid>
        <w:gridCol w:w="1667"/>
        <w:gridCol w:w="1667"/>
        <w:gridCol w:w="1012"/>
        <w:gridCol w:w="1012"/>
        <w:gridCol w:w="833"/>
        <w:gridCol w:w="476"/>
        <w:gridCol w:w="476"/>
        <w:gridCol w:w="774"/>
      </w:tblGrid>
      <w:tr>
        <w:trPr>
          <w:tblHeader w:val="on"/>
        </w:trPr>
        <w:tc>
          <w:tcPr/>
          <w:p>
            <w:pPr>
              <w:pStyle w:val="Compact"/>
              <w:spacing w:after="20" w:before="20" w:line="240" w:lineRule="auto"/>
            </w:pPr>
            <w:r>
              <w:rPr>
                <w:sz w:val="18"/>
              </w:rPr>
              <w:t xml:space="preserve">Model</w:t>
            </w:r>
          </w:p>
        </w:tc>
        <w:tc>
          <w:tcPr/>
          <w:p>
            <w:pPr>
              <w:pStyle w:val="Compact"/>
              <w:spacing w:after="20" w:before="20" w:line="240" w:lineRule="auto"/>
            </w:pPr>
            <w:r>
              <w:rPr>
                <w:sz w:val="18"/>
              </w:rPr>
              <w:t xml:space="preserve">AUC</w:t>
            </w:r>
          </w:p>
        </w:tc>
        <w:tc>
          <w:tcPr/>
          <w:p>
            <w:pPr>
              <w:pStyle w:val="Compact"/>
              <w:spacing w:after="20" w:before="20" w:line="240" w:lineRule="auto"/>
            </w:pPr>
            <w:r>
              <w:rPr>
                <w:sz w:val="18"/>
              </w:rPr>
              <w:t xml:space="preserve">Sensitivity (%)</w:t>
            </w:r>
          </w:p>
        </w:tc>
        <w:tc>
          <w:tcPr/>
          <w:p>
            <w:pPr>
              <w:pStyle w:val="Compact"/>
              <w:spacing w:after="20" w:before="20" w:line="240" w:lineRule="auto"/>
            </w:pPr>
            <w:r>
              <w:rPr>
                <w:sz w:val="18"/>
              </w:rPr>
              <w:t xml:space="preserve">Specificity (%)</w:t>
            </w:r>
          </w:p>
        </w:tc>
        <w:tc>
          <w:tcPr/>
          <w:p>
            <w:pPr>
              <w:pStyle w:val="Compact"/>
              <w:spacing w:after="20" w:before="20" w:line="240" w:lineRule="auto"/>
            </w:pPr>
            <w:r>
              <w:rPr>
                <w:sz w:val="18"/>
              </w:rPr>
              <w:t xml:space="preserve">Accuracy (%)</w:t>
            </w:r>
          </w:p>
        </w:tc>
        <w:tc>
          <w:tcPr/>
          <w:p>
            <w:pPr>
              <w:pStyle w:val="Compact"/>
              <w:spacing w:after="20" w:before="20" w:line="240" w:lineRule="auto"/>
            </w:pPr>
            <w:r>
              <w:rPr>
                <w:sz w:val="18"/>
              </w:rPr>
              <w:t xml:space="preserve">MCC</w:t>
            </w:r>
          </w:p>
        </w:tc>
        <w:tc>
          <w:tcPr/>
          <w:p>
            <w:pPr>
              <w:pStyle w:val="Compact"/>
              <w:spacing w:after="20" w:before="20" w:line="240" w:lineRule="auto"/>
            </w:pPr>
            <w:r>
              <w:rPr>
                <w:sz w:val="18"/>
              </w:rPr>
              <w:t xml:space="preserve">Brier</w:t>
            </w:r>
          </w:p>
        </w:tc>
        <w:tc>
          <w:tcPr/>
          <w:p>
            <w:pPr>
              <w:pStyle w:val="Compact"/>
              <w:spacing w:after="20" w:before="20" w:line="240" w:lineRule="auto"/>
            </w:pPr>
            <w:r>
              <w:rPr>
                <w:sz w:val="18"/>
              </w:rPr>
              <w:t xml:space="preserve">AUC seed SD</w:t>
            </w:r>
          </w:p>
        </w:tc>
      </w:tr>
      <w:tr>
        <w:tc>
          <w:tcPr/>
          <w:p>
            <w:pPr>
              <w:pStyle w:val="Compact"/>
              <w:spacing w:after="20" w:before="20" w:line="240" w:lineRule="auto"/>
            </w:pPr>
            <w:r>
              <w:rPr>
                <w:sz w:val="18"/>
              </w:rPr>
              <w:t xml:space="preserve">Image-only CNN</w:t>
            </w:r>
          </w:p>
        </w:tc>
        <w:tc>
          <w:tcPr/>
          <w:p>
            <w:pPr>
              <w:pStyle w:val="Compact"/>
              <w:spacing w:after="20" w:before="20" w:line="240" w:lineRule="auto"/>
            </w:pPr>
            <w:r>
              <w:rPr>
                <w:sz w:val="18"/>
              </w:rPr>
              <w:t xml:space="preserve">0.805 [0.770, 0.839]</w:t>
            </w:r>
          </w:p>
        </w:tc>
        <w:tc>
          <w:tcPr/>
          <w:p>
            <w:pPr>
              <w:pStyle w:val="Compact"/>
              <w:spacing w:after="20" w:before="20" w:line="240" w:lineRule="auto"/>
            </w:pPr>
            <w:r>
              <w:rPr>
                <w:sz w:val="18"/>
              </w:rPr>
              <w:t xml:space="preserve">95.8</w:t>
            </w:r>
          </w:p>
        </w:tc>
        <w:tc>
          <w:tcPr/>
          <w:p>
            <w:pPr>
              <w:pStyle w:val="Compact"/>
              <w:spacing w:after="20" w:before="20" w:line="240" w:lineRule="auto"/>
            </w:pPr>
            <w:r>
              <w:rPr>
                <w:sz w:val="18"/>
              </w:rPr>
              <w:t xml:space="preserve">34.1</w:t>
            </w:r>
          </w:p>
        </w:tc>
        <w:tc>
          <w:tcPr/>
          <w:p>
            <w:pPr>
              <w:pStyle w:val="Compact"/>
              <w:spacing w:after="20" w:before="20" w:line="240" w:lineRule="auto"/>
            </w:pPr>
            <w:r>
              <w:rPr>
                <w:sz w:val="18"/>
              </w:rPr>
              <w:t xml:space="preserve">57.8</w:t>
            </w:r>
          </w:p>
        </w:tc>
        <w:tc>
          <w:tcPr/>
          <w:p>
            <w:pPr>
              <w:pStyle w:val="Compact"/>
              <w:spacing w:after="20" w:before="20" w:line="240" w:lineRule="auto"/>
            </w:pPr>
            <w:r>
              <w:rPr>
                <w:sz w:val="18"/>
              </w:rPr>
              <w:t xml:space="preserve">0.347</w:t>
            </w:r>
          </w:p>
        </w:tc>
        <w:tc>
          <w:tcPr/>
          <w:p>
            <w:pPr>
              <w:pStyle w:val="Compact"/>
              <w:spacing w:after="20" w:before="20" w:line="240" w:lineRule="auto"/>
            </w:pPr>
            <w:r>
              <w:rPr>
                <w:sz w:val="18"/>
              </w:rPr>
              <w:t xml:space="preserve">0.196</w:t>
            </w:r>
          </w:p>
        </w:tc>
        <w:tc>
          <w:tcPr/>
          <w:p>
            <w:pPr>
              <w:pStyle w:val="Compact"/>
              <w:spacing w:after="20" w:before="20" w:line="240" w:lineRule="auto"/>
            </w:pPr>
            <w:r>
              <w:rPr>
                <w:sz w:val="18"/>
              </w:rPr>
              <w:t xml:space="preserve">0.013</w:t>
            </w:r>
          </w:p>
        </w:tc>
      </w:tr>
      <w:tr>
        <w:tc>
          <w:tcPr/>
          <w:p>
            <w:pPr>
              <w:pStyle w:val="Compact"/>
              <w:spacing w:after="20" w:before="20" w:line="240" w:lineRule="auto"/>
            </w:pPr>
            <w:r>
              <w:rPr>
                <w:sz w:val="18"/>
              </w:rPr>
              <w:t xml:space="preserve">Descriptor-only XGBoost</w:t>
            </w:r>
          </w:p>
        </w:tc>
        <w:tc>
          <w:tcPr/>
          <w:p>
            <w:pPr>
              <w:pStyle w:val="Compact"/>
              <w:spacing w:after="20" w:before="20" w:line="240" w:lineRule="auto"/>
            </w:pPr>
            <w:r>
              <w:rPr>
                <w:sz w:val="18"/>
              </w:rPr>
              <w:t xml:space="preserve">0.588 [0.539, 0.631]</w:t>
            </w:r>
          </w:p>
        </w:tc>
        <w:tc>
          <w:tcPr/>
          <w:p>
            <w:pPr>
              <w:pStyle w:val="Compact"/>
              <w:spacing w:after="20" w:before="20" w:line="240" w:lineRule="auto"/>
            </w:pPr>
            <w:r>
              <w:rPr>
                <w:sz w:val="18"/>
              </w:rPr>
              <w:t xml:space="preserve">95.3</w:t>
            </w:r>
          </w:p>
        </w:tc>
        <w:tc>
          <w:tcPr/>
          <w:p>
            <w:pPr>
              <w:pStyle w:val="Compact"/>
              <w:spacing w:after="20" w:before="20" w:line="240" w:lineRule="auto"/>
            </w:pPr>
            <w:r>
              <w:rPr>
                <w:sz w:val="18"/>
              </w:rPr>
              <w:t xml:space="preserve">5.0</w:t>
            </w:r>
          </w:p>
        </w:tc>
        <w:tc>
          <w:tcPr/>
          <w:p>
            <w:pPr>
              <w:pStyle w:val="Compact"/>
              <w:spacing w:after="20" w:before="20" w:line="240" w:lineRule="auto"/>
            </w:pPr>
            <w:r>
              <w:rPr>
                <w:sz w:val="18"/>
              </w:rPr>
              <w:t xml:space="preserve">39.7</w:t>
            </w:r>
          </w:p>
        </w:tc>
        <w:tc>
          <w:tcPr/>
          <w:p>
            <w:pPr>
              <w:pStyle w:val="Compact"/>
              <w:spacing w:after="20" w:before="20" w:line="240" w:lineRule="auto"/>
            </w:pPr>
            <w:r>
              <w:rPr>
                <w:sz w:val="18"/>
              </w:rPr>
              <w:t xml:space="preserve">0.008</w:t>
            </w:r>
          </w:p>
        </w:tc>
        <w:tc>
          <w:tcPr/>
          <w:p>
            <w:pPr>
              <w:pStyle w:val="Compact"/>
              <w:spacing w:after="20" w:before="20" w:line="240" w:lineRule="auto"/>
            </w:pPr>
            <w:r>
              <w:rPr>
                <w:sz w:val="18"/>
              </w:rPr>
              <w:t xml:space="preserve">0.247</w:t>
            </w:r>
          </w:p>
        </w:tc>
        <w:tc>
          <w:tcPr/>
          <w:p>
            <w:pPr>
              <w:pStyle w:val="Compact"/>
              <w:spacing w:after="20" w:before="20" w:line="240" w:lineRule="auto"/>
            </w:pPr>
            <w:r>
              <w:rPr>
                <w:sz w:val="18"/>
              </w:rPr>
              <w:t xml:space="preserve">0.005</w:t>
            </w:r>
          </w:p>
        </w:tc>
      </w:tr>
      <w:tr>
        <w:tc>
          <w:tcPr/>
          <w:p>
            <w:pPr>
              <w:pStyle w:val="Compact"/>
              <w:spacing w:after="20" w:before="20" w:line="240" w:lineRule="auto"/>
            </w:pPr>
            <w:r>
              <w:rPr>
                <w:sz w:val="18"/>
              </w:rPr>
              <w:t xml:space="preserve">CNN + XGBoost late fusion</w:t>
            </w:r>
          </w:p>
        </w:tc>
        <w:tc>
          <w:tcPr/>
          <w:p>
            <w:pPr>
              <w:pStyle w:val="Compact"/>
              <w:spacing w:after="20" w:before="20" w:line="240" w:lineRule="auto"/>
            </w:pPr>
            <w:r>
              <w:rPr>
                <w:sz w:val="18"/>
              </w:rPr>
              <w:t xml:space="preserve">0.785 [0.747, 0.820]</w:t>
            </w:r>
          </w:p>
        </w:tc>
        <w:tc>
          <w:tcPr/>
          <w:p>
            <w:pPr>
              <w:pStyle w:val="Compact"/>
              <w:spacing w:after="20" w:before="20" w:line="240" w:lineRule="auto"/>
            </w:pPr>
            <w:r>
              <w:rPr>
                <w:sz w:val="18"/>
              </w:rPr>
              <w:t xml:space="preserve">96.6</w:t>
            </w:r>
          </w:p>
        </w:tc>
        <w:tc>
          <w:tcPr/>
          <w:p>
            <w:pPr>
              <w:pStyle w:val="Compact"/>
              <w:spacing w:after="20" w:before="20" w:line="240" w:lineRule="auto"/>
            </w:pPr>
            <w:r>
              <w:rPr>
                <w:sz w:val="18"/>
              </w:rPr>
              <w:t xml:space="preserve">27.2</w:t>
            </w:r>
          </w:p>
        </w:tc>
        <w:tc>
          <w:tcPr/>
          <w:p>
            <w:pPr>
              <w:pStyle w:val="Compact"/>
              <w:spacing w:after="20" w:before="20" w:line="240" w:lineRule="auto"/>
            </w:pPr>
            <w:r>
              <w:rPr>
                <w:sz w:val="18"/>
              </w:rPr>
              <w:t xml:space="preserve">53.9</w:t>
            </w:r>
          </w:p>
        </w:tc>
        <w:tc>
          <w:tcPr/>
          <w:p>
            <w:pPr>
              <w:pStyle w:val="Compact"/>
              <w:spacing w:after="20" w:before="20" w:line="240" w:lineRule="auto"/>
            </w:pPr>
            <w:r>
              <w:rPr>
                <w:sz w:val="18"/>
              </w:rPr>
              <w:t xml:space="preserve">0.302</w:t>
            </w:r>
          </w:p>
        </w:tc>
        <w:tc>
          <w:tcPr/>
          <w:p>
            <w:pPr>
              <w:pStyle w:val="Compact"/>
              <w:spacing w:after="20" w:before="20" w:line="240" w:lineRule="auto"/>
            </w:pPr>
            <w:r>
              <w:rPr>
                <w:sz w:val="18"/>
              </w:rPr>
              <w:t xml:space="preserve">0.194</w:t>
            </w:r>
          </w:p>
        </w:tc>
        <w:tc>
          <w:tcPr/>
          <w:p>
            <w:pPr>
              <w:pStyle w:val="Compact"/>
              <w:spacing w:after="20" w:before="20" w:line="240" w:lineRule="auto"/>
            </w:pPr>
            <w:r>
              <w:rPr>
                <w:sz w:val="18"/>
              </w:rPr>
              <w:t xml:space="preserve">0.009</w:t>
            </w:r>
          </w:p>
        </w:tc>
      </w:tr>
      <w:tr>
        <w:tc>
          <w:tcPr/>
          <w:p>
            <w:pPr>
              <w:pStyle w:val="Compact"/>
              <w:spacing w:after="20" w:before="20" w:line="240" w:lineRule="auto"/>
            </w:pPr>
            <w:r>
              <w:rPr>
                <w:sz w:val="18"/>
              </w:rPr>
              <w:t xml:space="preserve">DL / RF / XGB / FSVM learner alone</w:t>
            </w:r>
          </w:p>
        </w:tc>
        <w:tc>
          <w:tcPr/>
          <w:p>
            <w:pPr>
              <w:pStyle w:val="Compact"/>
              <w:spacing w:after="20" w:before="20" w:line="240" w:lineRule="auto"/>
            </w:pPr>
            <w:r>
              <w:rPr>
                <w:sz w:val="18"/>
              </w:rPr>
              <w:t xml:space="preserve">0.824 / 0.824 / 0.828 / 0.815</w:t>
            </w:r>
          </w:p>
        </w:tc>
        <w:tc>
          <w:tcPr/>
          <w:p>
            <w:pPr>
              <w:pStyle w:val="Compact"/>
              <w:spacing w:after="20" w:before="20" w:line="240" w:lineRule="auto"/>
            </w:pPr>
          </w:p>
        </w:tc>
        <w:tc>
          <w:tcPr/>
          <w:p>
            <w:pPr>
              <w:pStyle w:val="Compact"/>
              <w:spacing w:after="20" w:before="20" w:line="240" w:lineRule="auto"/>
            </w:pPr>
          </w:p>
        </w:tc>
        <w:tc>
          <w:tcPr/>
          <w:p>
            <w:pPr>
              <w:pStyle w:val="Compact"/>
              <w:spacing w:after="20" w:before="20" w:line="240" w:lineRule="auto"/>
            </w:pPr>
          </w:p>
        </w:tc>
        <w:tc>
          <w:tcPr/>
          <w:p>
            <w:pPr>
              <w:pStyle w:val="Compact"/>
              <w:spacing w:after="20" w:before="20" w:line="240" w:lineRule="auto"/>
            </w:pPr>
          </w:p>
        </w:tc>
        <w:tc>
          <w:tcPr/>
          <w:p>
            <w:pPr>
              <w:pStyle w:val="Compact"/>
              <w:spacing w:after="20" w:before="20" w:line="240" w:lineRule="auto"/>
            </w:pPr>
          </w:p>
        </w:tc>
        <w:tc>
          <w:tcPr/>
          <w:p>
            <w:pPr>
              <w:pStyle w:val="Compact"/>
              <w:spacing w:after="20" w:before="20" w:line="240" w:lineRule="auto"/>
            </w:pPr>
          </w:p>
        </w:tc>
      </w:tr>
      <w:tr>
        <w:tc>
          <w:tcPr/>
          <w:p>
            <w:pPr>
              <w:pStyle w:val="Compact"/>
              <w:spacing w:after="20" w:before="20" w:line="240" w:lineRule="auto"/>
            </w:pPr>
            <w:r>
              <w:rPr>
                <w:sz w:val="18"/>
              </w:rPr>
              <w:t xml:space="preserve">TAMES AI</w:t>
            </w:r>
          </w:p>
        </w:tc>
        <w:tc>
          <w:tcPr/>
          <w:p>
            <w:pPr>
              <w:pStyle w:val="Compact"/>
              <w:spacing w:after="20" w:before="20" w:line="240" w:lineRule="auto"/>
            </w:pPr>
            <w:r>
              <w:rPr>
                <w:sz w:val="18"/>
              </w:rPr>
              <w:t xml:space="preserve">0.823 [0.787, 0.855]</w:t>
            </w:r>
          </w:p>
        </w:tc>
        <w:tc>
          <w:tcPr/>
          <w:p>
            <w:pPr>
              <w:pStyle w:val="Compact"/>
              <w:spacing w:after="20" w:before="20" w:line="240" w:lineRule="auto"/>
            </w:pPr>
            <w:r>
              <w:rPr>
                <w:sz w:val="18"/>
              </w:rPr>
              <w:t xml:space="preserve">96.6</w:t>
            </w:r>
          </w:p>
        </w:tc>
        <w:tc>
          <w:tcPr/>
          <w:p>
            <w:pPr>
              <w:pStyle w:val="Compact"/>
              <w:spacing w:after="20" w:before="20" w:line="240" w:lineRule="auto"/>
            </w:pPr>
            <w:r>
              <w:rPr>
                <w:sz w:val="18"/>
              </w:rPr>
              <w:t xml:space="preserve">26.7</w:t>
            </w:r>
          </w:p>
        </w:tc>
        <w:tc>
          <w:tcPr/>
          <w:p>
            <w:pPr>
              <w:pStyle w:val="Compact"/>
              <w:spacing w:after="20" w:before="20" w:line="240" w:lineRule="auto"/>
            </w:pPr>
            <w:r>
              <w:rPr>
                <w:sz w:val="18"/>
              </w:rPr>
              <w:t xml:space="preserve">53.6</w:t>
            </w:r>
          </w:p>
        </w:tc>
        <w:tc>
          <w:tcPr/>
          <w:p>
            <w:pPr>
              <w:pStyle w:val="Compact"/>
              <w:spacing w:after="20" w:before="20" w:line="240" w:lineRule="auto"/>
            </w:pPr>
            <w:r>
              <w:rPr>
                <w:sz w:val="18"/>
              </w:rPr>
              <w:t xml:space="preserve">0.297</w:t>
            </w:r>
          </w:p>
        </w:tc>
        <w:tc>
          <w:tcPr/>
          <w:p>
            <w:pPr>
              <w:pStyle w:val="Compact"/>
              <w:spacing w:after="20" w:before="20" w:line="240" w:lineRule="auto"/>
            </w:pPr>
            <w:r>
              <w:rPr>
                <w:sz w:val="18"/>
              </w:rPr>
              <w:t xml:space="preserve">0.166</w:t>
            </w:r>
          </w:p>
        </w:tc>
        <w:tc>
          <w:tcPr/>
          <w:p>
            <w:pPr>
              <w:pStyle w:val="Compact"/>
              <w:spacing w:after="20" w:before="20" w:line="240" w:lineRule="auto"/>
            </w:pPr>
            <w:r>
              <w:rPr>
                <w:sz w:val="18"/>
              </w:rPr>
              <w:t xml:space="preserve">0.016</w:t>
            </w:r>
          </w:p>
        </w:tc>
      </w:tr>
    </w:tbl>
    <w:p>
      <w:pPr>
        <w:pStyle w:val="Heading1"/>
      </w:pPr>
      <w:bookmarkStart w:id="45" w:name="_0a27f7a6a8bdd24a7476ecd9a830ac610f345e7"/>
      <w:r>
        <w:t xml:space="preserve">5.6 E2 — Robustness to image degradation</w:t>
      </w:r>
      <w:bookmarkEnd w:id="45"/>
    </w:p>
    <w:p>
      <w:pPr>
        <w:pStyle w:val="FirstParagraph"/>
      </w:pPr>
      <w:r>
        <w:rPr>
          <w:b/>
          <w:bCs/>
        </w:rPr>
        <w:t xml:space="preserve">Table 6.</w:t>
      </w:r>
      <w:r>
        <w:t xml:space="preserve"> </w:t>
      </w:r>
      <w:r>
        <w:t xml:space="preserve">Test AUC at the strongest level of each degradation (frozen models, front end recomputed), with the mean quality coefficient</w:t>
      </w:r>
      <w:r>
        <w:t xml:space="preserve"> </w:t>
      </w:r>
      <m:oMath>
        <m:acc>
          <m:accPr>
            <m:chr m:val="‾"/>
          </m:accPr>
          <m:e>
            <m:r>
              <m:t>q</m:t>
            </m:r>
          </m:e>
        </m:acc>
      </m:oMath>
      <w:r>
        <w:t xml:space="preserve"> </w:t>
      </w:r>
      <w:r>
        <w:t xml:space="preserve">of the degraded images; 95 % bootstrap CIs in brackets. The last column is the ablation-(c) model (</w:t>
      </w:r>
      <m:oMath>
        <m:sSub>
          <m:e>
            <m:r>
              <m:t>Q</m:t>
            </m:r>
          </m:e>
          <m:sub>
            <m:r>
              <m:t>m</m:t>
            </m:r>
          </m:sub>
        </m:sSub>
      </m:oMath>
      <w:r>
        <w:t xml:space="preserve"> </w:t>
      </w:r>
      <w:r>
        <w:t xml:space="preserve">= 1) scored under the same conditions.</w:t>
      </w:r>
    </w:p>
    <w:tbl>
      <w:tblPr>
        <w:tblStyle w:val="Table"/>
        <w:tblW w:type="pct" w:w="5000"/>
        <w:tblLayout w:type="fixed"/>
        <w:tblLook w:firstRow="1" w:lastRow="0" w:firstColumn="0" w:lastColumn="0" w:noHBand="0" w:noVBand="0" w:val="0020"/>
      </w:tblPr>
      <w:tblGrid>
        <w:gridCol w:w="1642"/>
        <w:gridCol w:w="645"/>
        <w:gridCol w:w="1408"/>
        <w:gridCol w:w="1408"/>
        <w:gridCol w:w="1408"/>
        <w:gridCol w:w="1408"/>
      </w:tblGrid>
      <w:tr>
        <w:trPr>
          <w:tblHeader w:val="on"/>
        </w:trPr>
        <w:tc>
          <w:tcPr/>
          <w:p>
            <w:pPr>
              <w:pStyle w:val="Compact"/>
              <w:spacing w:after="20" w:before="20" w:line="240" w:lineRule="auto"/>
            </w:pPr>
            <w:r>
              <w:rPr>
                <w:sz w:val="18"/>
              </w:rPr>
              <w:t xml:space="preserve">Condition</w:t>
            </w:r>
          </w:p>
        </w:tc>
        <w:tc>
          <w:tcPr/>
          <w:p>
            <w:pPr>
              <w:pStyle w:val="Compact"/>
              <w:spacing w:after="20" w:before="20" w:line="240" w:lineRule="auto"/>
            </w:pPr>
            <m:oMath>
              <m:acc>
                <m:accPr>
                  <m:chr m:val="‾"/>
                </m:accPr>
                <m:e>
                  <m:r>
                    <m:t>q</m:t>
                  </m:r>
                </m:e>
              </m:acc>
            </m:oMath>
            <w:r>
              <w:rPr>
                <w:sz w:val="18"/>
              </w:rPr>
              <w:t xml:space="preserve">​</w:t>
            </w:r>
          </w:p>
        </w:tc>
        <w:tc>
          <w:tcPr/>
          <w:p>
            <w:pPr>
              <w:pStyle w:val="Compact"/>
              <w:spacing w:after="20" w:before="20" w:line="240" w:lineRule="auto"/>
            </w:pPr>
            <w:r>
              <w:rPr>
                <w:sz w:val="18"/>
              </w:rPr>
              <w:t xml:space="preserve">TAMES AI</w:t>
            </w:r>
          </w:p>
        </w:tc>
        <w:tc>
          <w:tcPr/>
          <w:p>
            <w:pPr>
              <w:pStyle w:val="Compact"/>
              <w:spacing w:after="20" w:before="20" w:line="240" w:lineRule="auto"/>
            </w:pPr>
            <w:r>
              <w:rPr>
                <w:sz w:val="18"/>
              </w:rPr>
              <w:t xml:space="preserve">Image-only CNN</w:t>
            </w:r>
          </w:p>
        </w:tc>
        <w:tc>
          <w:tcPr/>
          <w:p>
            <w:pPr>
              <w:pStyle w:val="Compact"/>
              <w:spacing w:after="20" w:before="20" w:line="240" w:lineRule="auto"/>
            </w:pPr>
            <w:r>
              <w:rPr>
                <w:sz w:val="18"/>
              </w:rPr>
              <w:t xml:space="preserve">Late fusion</w:t>
            </w:r>
          </w:p>
        </w:tc>
        <w:tc>
          <w:tcPr/>
          <w:p>
            <w:pPr>
              <w:pStyle w:val="Compact"/>
              <w:spacing w:after="20" w:before="20" w:line="240" w:lineRule="auto"/>
            </w:pPr>
            <w:r>
              <w:rPr>
                <w:sz w:val="18"/>
              </w:rPr>
              <w:t xml:space="preserve">TAMES AI,</w:t>
            </w:r>
            <w:r>
              <w:rPr>
                <w:sz w:val="18"/>
              </w:rPr>
              <w:t xml:space="preserve"> </w:t>
            </w:r>
            <m:oMath>
              <m:sSub>
                <m:e>
                  <m:r>
                    <m:t>Q</m:t>
                  </m:r>
                </m:e>
                <m:sub>
                  <m:r>
                    <m:t>m</m:t>
                  </m:r>
                </m:sub>
              </m:sSub>
            </m:oMath>
            <w:r>
              <w:rPr>
                <w:sz w:val="18"/>
              </w:rPr>
              <w:t xml:space="preserve"> </w:t>
            </w:r>
            <w:r>
              <w:rPr>
                <w:sz w:val="18"/>
              </w:rPr>
              <w:t xml:space="preserve">= 1</w:t>
            </w:r>
          </w:p>
        </w:tc>
      </w:tr>
      <w:tr>
        <w:tc>
          <w:tcPr/>
          <w:p>
            <w:pPr>
              <w:pStyle w:val="Compact"/>
              <w:spacing w:after="20" w:before="20" w:line="240" w:lineRule="auto"/>
            </w:pPr>
            <w:r>
              <w:rPr>
                <w:sz w:val="18"/>
              </w:rPr>
              <w:t xml:space="preserve">Clean</w:t>
            </w:r>
          </w:p>
        </w:tc>
        <w:tc>
          <w:tcPr/>
          <w:p>
            <w:pPr>
              <w:pStyle w:val="Compact"/>
              <w:spacing w:after="20" w:before="20" w:line="240" w:lineRule="auto"/>
            </w:pPr>
            <w:r>
              <w:rPr>
                <w:sz w:val="18"/>
              </w:rPr>
              <w:t xml:space="preserve">0.531</w:t>
            </w:r>
          </w:p>
        </w:tc>
        <w:tc>
          <w:tcPr/>
          <w:p>
            <w:pPr>
              <w:pStyle w:val="Compact"/>
              <w:spacing w:after="20" w:before="20" w:line="240" w:lineRule="auto"/>
            </w:pPr>
            <w:r>
              <w:rPr>
                <w:sz w:val="18"/>
              </w:rPr>
              <w:t xml:space="preserve">0.815 [0.779, 0.847]</w:t>
            </w:r>
          </w:p>
        </w:tc>
        <w:tc>
          <w:tcPr/>
          <w:p>
            <w:pPr>
              <w:pStyle w:val="Compact"/>
              <w:spacing w:after="20" w:before="20" w:line="240" w:lineRule="auto"/>
            </w:pPr>
            <w:r>
              <w:rPr>
                <w:sz w:val="18"/>
              </w:rPr>
              <w:t xml:space="preserve">0.830 [0.793, 0.861]</w:t>
            </w:r>
          </w:p>
        </w:tc>
        <w:tc>
          <w:tcPr/>
          <w:p>
            <w:pPr>
              <w:pStyle w:val="Compact"/>
              <w:spacing w:after="20" w:before="20" w:line="240" w:lineRule="auto"/>
            </w:pPr>
            <w:r>
              <w:rPr>
                <w:sz w:val="18"/>
              </w:rPr>
              <w:t xml:space="preserve">0.802 [0.765, 0.836]</w:t>
            </w:r>
          </w:p>
        </w:tc>
        <w:tc>
          <w:tcPr/>
          <w:p>
            <w:pPr>
              <w:pStyle w:val="Compact"/>
              <w:spacing w:after="20" w:before="20" w:line="240" w:lineRule="auto"/>
            </w:pPr>
            <w:r>
              <w:rPr>
                <w:sz w:val="18"/>
              </w:rPr>
              <w:t xml:space="preserve">0.810 [0.769, 0.844]</w:t>
            </w:r>
          </w:p>
        </w:tc>
      </w:tr>
      <w:tr>
        <w:tc>
          <w:tcPr/>
          <w:p>
            <w:pPr>
              <w:pStyle w:val="Compact"/>
              <w:spacing w:after="20" w:before="20" w:line="240" w:lineRule="auto"/>
            </w:pPr>
            <w:r>
              <w:rPr>
                <w:sz w:val="18"/>
              </w:rPr>
              <w:t xml:space="preserve">Gaussian noise σ = 0.20</w:t>
            </w:r>
          </w:p>
        </w:tc>
        <w:tc>
          <w:tcPr/>
          <w:p>
            <w:pPr>
              <w:pStyle w:val="Compact"/>
              <w:spacing w:after="20" w:before="20" w:line="240" w:lineRule="auto"/>
            </w:pPr>
            <w:r>
              <w:rPr>
                <w:sz w:val="18"/>
              </w:rPr>
              <w:t xml:space="preserve">0.025</w:t>
            </w:r>
          </w:p>
        </w:tc>
        <w:tc>
          <w:tcPr/>
          <w:p>
            <w:pPr>
              <w:pStyle w:val="Compact"/>
              <w:spacing w:after="20" w:before="20" w:line="240" w:lineRule="auto"/>
            </w:pPr>
            <w:r>
              <w:rPr>
                <w:sz w:val="18"/>
              </w:rPr>
              <w:t xml:space="preserve">0.611 [0.564, 0.658]</w:t>
            </w:r>
          </w:p>
        </w:tc>
        <w:tc>
          <w:tcPr/>
          <w:p>
            <w:pPr>
              <w:pStyle w:val="Compact"/>
              <w:spacing w:after="20" w:before="20" w:line="240" w:lineRule="auto"/>
            </w:pPr>
            <w:r>
              <w:rPr>
                <w:sz w:val="18"/>
              </w:rPr>
              <w:t xml:space="preserve">0.720 [0.680, 0.758]</w:t>
            </w:r>
          </w:p>
        </w:tc>
        <w:tc>
          <w:tcPr/>
          <w:p>
            <w:pPr>
              <w:pStyle w:val="Compact"/>
              <w:spacing w:after="20" w:before="20" w:line="240" w:lineRule="auto"/>
            </w:pPr>
            <w:r>
              <w:rPr>
                <w:sz w:val="18"/>
              </w:rPr>
              <w:t xml:space="preserve">0.721 [0.677, 0.759]</w:t>
            </w:r>
          </w:p>
        </w:tc>
        <w:tc>
          <w:tcPr/>
          <w:p>
            <w:pPr>
              <w:pStyle w:val="Compact"/>
              <w:spacing w:after="20" w:before="20" w:line="240" w:lineRule="auto"/>
            </w:pPr>
            <w:r>
              <w:rPr>
                <w:sz w:val="18"/>
              </w:rPr>
              <w:t xml:space="preserve">0.696 [0.657, 0.735]</w:t>
            </w:r>
          </w:p>
        </w:tc>
      </w:tr>
      <w:tr>
        <w:tc>
          <w:tcPr/>
          <w:p>
            <w:pPr>
              <w:pStyle w:val="Compact"/>
              <w:spacing w:after="20" w:before="20" w:line="240" w:lineRule="auto"/>
            </w:pPr>
            <w:r>
              <w:rPr>
                <w:sz w:val="18"/>
              </w:rPr>
              <w:t xml:space="preserve">Speckle noise σ = 0.40</w:t>
            </w:r>
          </w:p>
        </w:tc>
        <w:tc>
          <w:tcPr/>
          <w:p>
            <w:pPr>
              <w:pStyle w:val="Compact"/>
              <w:spacing w:after="20" w:before="20" w:line="240" w:lineRule="auto"/>
            </w:pPr>
            <w:r>
              <w:rPr>
                <w:sz w:val="18"/>
              </w:rPr>
              <w:t xml:space="preserve">0.041</w:t>
            </w:r>
          </w:p>
        </w:tc>
        <w:tc>
          <w:tcPr/>
          <w:p>
            <w:pPr>
              <w:pStyle w:val="Compact"/>
              <w:spacing w:after="20" w:before="20" w:line="240" w:lineRule="auto"/>
            </w:pPr>
            <w:r>
              <w:rPr>
                <w:sz w:val="18"/>
              </w:rPr>
              <w:t xml:space="preserve">0.634 [0.591, 0.677]</w:t>
            </w:r>
          </w:p>
        </w:tc>
        <w:tc>
          <w:tcPr/>
          <w:p>
            <w:pPr>
              <w:pStyle w:val="Compact"/>
              <w:spacing w:after="20" w:before="20" w:line="240" w:lineRule="auto"/>
            </w:pPr>
            <w:r>
              <w:rPr>
                <w:sz w:val="18"/>
              </w:rPr>
              <w:t xml:space="preserve">0.806 [0.771, 0.839]</w:t>
            </w:r>
          </w:p>
        </w:tc>
        <w:tc>
          <w:tcPr/>
          <w:p>
            <w:pPr>
              <w:pStyle w:val="Compact"/>
              <w:spacing w:after="20" w:before="20" w:line="240" w:lineRule="auto"/>
            </w:pPr>
            <w:r>
              <w:rPr>
                <w:sz w:val="18"/>
              </w:rPr>
              <w:t xml:space="preserve">0.766 [0.728, 0.801]</w:t>
            </w:r>
          </w:p>
        </w:tc>
        <w:tc>
          <w:tcPr/>
          <w:p>
            <w:pPr>
              <w:pStyle w:val="Compact"/>
              <w:spacing w:after="20" w:before="20" w:line="240" w:lineRule="auto"/>
            </w:pPr>
            <w:r>
              <w:rPr>
                <w:sz w:val="18"/>
              </w:rPr>
              <w:t xml:space="preserve">0.703 [0.664, 0.744]</w:t>
            </w:r>
          </w:p>
        </w:tc>
      </w:tr>
      <w:tr>
        <w:tc>
          <w:tcPr/>
          <w:p>
            <w:pPr>
              <w:pStyle w:val="Compact"/>
              <w:spacing w:after="20" w:before="20" w:line="240" w:lineRule="auto"/>
            </w:pPr>
            <w:r>
              <w:rPr>
                <w:sz w:val="18"/>
              </w:rPr>
              <w:t xml:space="preserve">Blur σ = 4 px</w:t>
            </w:r>
          </w:p>
        </w:tc>
        <w:tc>
          <w:tcPr/>
          <w:p>
            <w:pPr>
              <w:pStyle w:val="Compact"/>
              <w:spacing w:after="20" w:before="20" w:line="240" w:lineRule="auto"/>
            </w:pPr>
            <w:r>
              <w:rPr>
                <w:sz w:val="18"/>
              </w:rPr>
              <w:t xml:space="preserve">0.777</w:t>
            </w:r>
          </w:p>
        </w:tc>
        <w:tc>
          <w:tcPr/>
          <w:p>
            <w:pPr>
              <w:pStyle w:val="Compact"/>
              <w:spacing w:after="20" w:before="20" w:line="240" w:lineRule="auto"/>
            </w:pPr>
            <w:r>
              <w:rPr>
                <w:sz w:val="18"/>
              </w:rPr>
              <w:t xml:space="preserve">0.637 [0.595, 0.681]</w:t>
            </w:r>
          </w:p>
        </w:tc>
        <w:tc>
          <w:tcPr/>
          <w:p>
            <w:pPr>
              <w:pStyle w:val="Compact"/>
              <w:spacing w:after="20" w:before="20" w:line="240" w:lineRule="auto"/>
            </w:pPr>
            <w:r>
              <w:rPr>
                <w:sz w:val="18"/>
              </w:rPr>
              <w:t xml:space="preserve">0.684 [0.643, 0.726]</w:t>
            </w:r>
          </w:p>
        </w:tc>
        <w:tc>
          <w:tcPr/>
          <w:p>
            <w:pPr>
              <w:pStyle w:val="Compact"/>
              <w:spacing w:after="20" w:before="20" w:line="240" w:lineRule="auto"/>
            </w:pPr>
            <w:r>
              <w:rPr>
                <w:sz w:val="18"/>
              </w:rPr>
              <w:t xml:space="preserve">0.730 [0.691, 0.766]</w:t>
            </w:r>
          </w:p>
        </w:tc>
        <w:tc>
          <w:tcPr/>
          <w:p>
            <w:pPr>
              <w:pStyle w:val="Compact"/>
              <w:spacing w:after="20" w:before="20" w:line="240" w:lineRule="auto"/>
            </w:pPr>
            <w:r>
              <w:rPr>
                <w:sz w:val="18"/>
              </w:rPr>
              <w:t xml:space="preserve">0.666 [0.620, 0.708]</w:t>
            </w:r>
          </w:p>
        </w:tc>
      </w:tr>
      <w:tr>
        <w:tc>
          <w:tcPr/>
          <w:p>
            <w:pPr>
              <w:pStyle w:val="Compact"/>
              <w:spacing w:after="20" w:before="20" w:line="240" w:lineRule="auto"/>
            </w:pPr>
            <w:r>
              <w:rPr>
                <w:sz w:val="18"/>
              </w:rPr>
              <w:t xml:space="preserve">Contrast × 0.3</w:t>
            </w:r>
          </w:p>
        </w:tc>
        <w:tc>
          <w:tcPr/>
          <w:p>
            <w:pPr>
              <w:pStyle w:val="Compact"/>
              <w:spacing w:after="20" w:before="20" w:line="240" w:lineRule="auto"/>
            </w:pPr>
            <w:r>
              <w:rPr>
                <w:sz w:val="18"/>
              </w:rPr>
              <w:t xml:space="preserve">0.430</w:t>
            </w:r>
          </w:p>
        </w:tc>
        <w:tc>
          <w:tcPr/>
          <w:p>
            <w:pPr>
              <w:pStyle w:val="Compact"/>
              <w:spacing w:after="20" w:before="20" w:line="240" w:lineRule="auto"/>
            </w:pPr>
            <w:r>
              <w:rPr>
                <w:sz w:val="18"/>
              </w:rPr>
              <w:t xml:space="preserve">0.810 [0.774, 0.841]</w:t>
            </w:r>
          </w:p>
        </w:tc>
        <w:tc>
          <w:tcPr/>
          <w:p>
            <w:pPr>
              <w:pStyle w:val="Compact"/>
              <w:spacing w:after="20" w:before="20" w:line="240" w:lineRule="auto"/>
            </w:pPr>
            <w:r>
              <w:rPr>
                <w:sz w:val="18"/>
              </w:rPr>
              <w:t xml:space="preserve">0.830 [0.794, 0.860]</w:t>
            </w:r>
          </w:p>
        </w:tc>
        <w:tc>
          <w:tcPr/>
          <w:p>
            <w:pPr>
              <w:pStyle w:val="Compact"/>
              <w:spacing w:after="20" w:before="20" w:line="240" w:lineRule="auto"/>
            </w:pPr>
            <w:r>
              <w:rPr>
                <w:sz w:val="18"/>
              </w:rPr>
              <w:t xml:space="preserve">0.802 [0.766, 0.837]</w:t>
            </w:r>
          </w:p>
        </w:tc>
        <w:tc>
          <w:tcPr/>
          <w:p>
            <w:pPr>
              <w:pStyle w:val="Compact"/>
              <w:spacing w:after="20" w:before="20" w:line="240" w:lineRule="auto"/>
            </w:pPr>
            <w:r>
              <w:rPr>
                <w:sz w:val="18"/>
              </w:rPr>
              <w:t xml:space="preserve">0.807 [0.767, 0.840]</w:t>
            </w:r>
          </w:p>
        </w:tc>
      </w:tr>
      <w:tr>
        <w:tc>
          <w:tcPr/>
          <w:p>
            <w:pPr>
              <w:pStyle w:val="Compact"/>
              <w:spacing w:after="20" w:before="20" w:line="240" w:lineRule="auto"/>
            </w:pPr>
            <w:r>
              <w:rPr>
                <w:sz w:val="18"/>
              </w:rPr>
              <w:t xml:space="preserve">Mean AUC drop, all 12 degraded conditions</w:t>
            </w:r>
          </w:p>
        </w:tc>
        <w:tc>
          <w:tcPr/>
          <w:p>
            <w:pPr>
              <w:pStyle w:val="Compact"/>
              <w:spacing w:after="20" w:before="20" w:line="240" w:lineRule="auto"/>
            </w:pPr>
            <w:r>
              <w:rPr>
                <w:sz w:val="18"/>
              </w:rPr>
              <w:t xml:space="preserve">—</w:t>
            </w:r>
          </w:p>
        </w:tc>
        <w:tc>
          <w:tcPr/>
          <w:p>
            <w:pPr>
              <w:pStyle w:val="Compact"/>
              <w:spacing w:after="20" w:before="20" w:line="240" w:lineRule="auto"/>
            </w:pPr>
            <w:r>
              <w:rPr>
                <w:sz w:val="18"/>
              </w:rPr>
              <w:t xml:space="preserve">0.091</w:t>
            </w:r>
          </w:p>
        </w:tc>
        <w:tc>
          <w:tcPr/>
          <w:p>
            <w:pPr>
              <w:pStyle w:val="Compact"/>
              <w:spacing w:after="20" w:before="20" w:line="240" w:lineRule="auto"/>
            </w:pPr>
            <w:r>
              <w:rPr>
                <w:sz w:val="18"/>
              </w:rPr>
              <w:t xml:space="preserve">0.034</w:t>
            </w:r>
          </w:p>
        </w:tc>
        <w:tc>
          <w:tcPr/>
          <w:p>
            <w:pPr>
              <w:pStyle w:val="Compact"/>
              <w:spacing w:after="20" w:before="20" w:line="240" w:lineRule="auto"/>
            </w:pPr>
            <w:r>
              <w:rPr>
                <w:sz w:val="18"/>
              </w:rPr>
              <w:t xml:space="preserve">0.027</w:t>
            </w:r>
          </w:p>
        </w:tc>
        <w:tc>
          <w:tcPr/>
          <w:p>
            <w:pPr>
              <w:pStyle w:val="Compact"/>
              <w:spacing w:after="20" w:before="20" w:line="240" w:lineRule="auto"/>
            </w:pPr>
            <w:r>
              <w:rPr>
                <w:sz w:val="18"/>
              </w:rPr>
              <w:t xml:space="preserve">0.059</w:t>
            </w:r>
          </w:p>
        </w:tc>
      </w:tr>
    </w:tbl>
    <w:p>
      <w:pPr>
        <w:pStyle w:val="FirstParagraph"/>
      </w:pPr>
      <w:r>
        <w:t xml:space="preserve">The quality coefficient behaved as Eq. (3) intends:</w:t>
      </w:r>
      <w:r>
        <w:t xml:space="preserve"> </w:t>
      </w:r>
      <m:oMath>
        <m:acc>
          <m:accPr>
            <m:chr m:val="‾"/>
          </m:accPr>
          <m:e>
            <m:r>
              <m:t>q</m:t>
            </m:r>
          </m:e>
        </m:acc>
      </m:oMath>
      <w:r>
        <w:t xml:space="preserve"> </w:t>
      </w:r>
      <w:r>
        <w:t xml:space="preserve">fell from 0.53 on clean images to 0.025 under the strongest Gaussian noise and rose under blur. The model built on it did not benefit. The mean AUC drop over the twelve degraded conditions was 0.091 for TAMES AI against 0.034 for the image-only CNN and 0.027 for the late fusion; under speckle, the degradation most characteristic of ultrasound, the image-only CNN barely moved (0.806) while TAMES AI fell to 0.634. With the quality coefficients removed (</w:t>
      </w:r>
      <m:oMath>
        <m:sSub>
          <m:e>
            <m:r>
              <m:t>Q</m:t>
            </m:r>
          </m:e>
          <m:sub>
            <m:r>
              <m:t>m</m:t>
            </m:r>
          </m:sub>
        </m:sSub>
      </m:oMath>
      <w:r>
        <w:t xml:space="preserve"> </w:t>
      </w:r>
      <w:r>
        <w:t xml:space="preserve">= 1) the drop shrank to 0.059, so the multiplicative gating of Eq. (11) accounts for about a third of the loss: once q leaves the range seen in training,</w:t>
      </w:r>
      <w:r>
        <w:t xml:space="preserve"> </w:t>
      </w:r>
      <m:oMath>
        <m:sSub>
          <m:e>
            <m:r>
              <m:t>Q</m:t>
            </m:r>
          </m:e>
          <m:sub>
            <m:r>
              <m:t>i</m:t>
            </m:r>
            <m:r>
              <m:t>m</m:t>
            </m:r>
            <m:r>
              <m:t>g</m:t>
            </m:r>
          </m:sub>
        </m:sSub>
      </m:oMath>
      <w:r>
        <w:t xml:space="preserve"> </w:t>
      </w:r>
      <m:oMath>
        <m:sSub>
          <m:e>
            <m:r>
              <m:t>h</m:t>
            </m:r>
          </m:e>
          <m:sub>
            <m:r>
              <m:t>i</m:t>
            </m:r>
            <m:r>
              <m:t>m</m:t>
            </m:r>
            <m:r>
              <m:t>g</m:t>
            </m:r>
          </m:sub>
        </m:sSub>
      </m:oMath>
      <w:r>
        <w:t xml:space="preserve"> </w:t>
      </w:r>
      <w:r>
        <w:t xml:space="preserve">shrinks the whole image representation toward zero and the tree learners receive inputs outside their training distribution. The remaining loss comes from the fuzzy inputs themselves — the membership μ depends on the local standard deviation, which noise inflates, so the F channel and the descriptors shift away from what the models were trained on. Contrast reduction, which Eq. (1) largely undoes, cost nothing. Figure 5 shows the full curves.</w:t>
      </w:r>
    </w:p>
    <w:p>
      <w:pPr>
        <w:pStyle w:val="BodyText"/>
      </w:pPr>
      <w:r>
        <w:drawing>
          <wp:inline>
            <wp:extent cx="5334000" cy="1830401"/>
            <wp:effectExtent b="0" l="0" r="0" t="0"/>
            <wp:docPr descr="" title="" id="47" name="Picture"/>
            <a:graphic>
              <a:graphicData uri="http://schemas.openxmlformats.org/drawingml/2006/picture">
                <pic:pic>
                  <pic:nvPicPr>
                    <pic:cNvPr descr="figures/fig5_robustness.png" id="48" name="Picture"/>
                    <pic:cNvPicPr>
                      <a:picLocks noChangeArrowheads="1" noChangeAspect="1"/>
                    </pic:cNvPicPr>
                  </pic:nvPicPr>
                  <pic:blipFill>
                    <a:blip r:embed="rId46"/>
                    <a:stretch>
                      <a:fillRect/>
                    </a:stretch>
                  </pic:blipFill>
                  <pic:spPr bwMode="auto">
                    <a:xfrm>
                      <a:off x="0" y="0"/>
                      <a:ext cx="5334000" cy="1830401"/>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Test AUC under synthetic degradation (Experiment E2; five seeds pooled, bands 95 % bootstrap CI): (a) additive Gaussian noise, with the mean image-quality coefficient</w:t>
      </w:r>
      <w:r>
        <w:t xml:space="preserve"> </w:t>
      </w:r>
      <m:oMath>
        <m:acc>
          <m:accPr>
            <m:chr m:val="‾"/>
          </m:accPr>
          <m:e>
            <m:r>
              <m:t>q</m:t>
            </m:r>
          </m:e>
        </m:acc>
      </m:oMath>
      <w:r>
        <w:t xml:space="preserve"> </w:t>
      </w:r>
      <w:r>
        <w:t xml:space="preserve">(grey squares, right axis); (b) speckle noise; (c) Gaussian blur; (d) contrast reduction. The fuzzy front end is recomputed on each degraded image; “TAMES AI,</w:t>
      </w:r>
      <w:r>
        <w:t xml:space="preserve"> </w:t>
      </w:r>
      <m:oMath>
        <m:sSub>
          <m:e>
            <m:r>
              <m:t>Q</m:t>
            </m:r>
          </m:e>
          <m:sub>
            <m:r>
              <m:t>m</m:t>
            </m:r>
          </m:sub>
        </m:sSub>
      </m:oMath>
      <w:r>
        <w:t xml:space="preserve"> </w:t>
      </w:r>
      <w:r>
        <w:t xml:space="preserve">= 1” is the ablation model trained and scored without the quality coefficients.</w:t>
      </w:r>
    </w:p>
    <w:p>
      <w:pPr>
        <w:pStyle w:val="Heading1"/>
      </w:pPr>
      <w:bookmarkStart w:id="49" w:name="_57aa8ee9b4e4edd1650534044926fd48826081f"/>
      <w:r>
        <w:t xml:space="preserve">5.7 E3 — Low-data regime</w:t>
      </w:r>
      <w:bookmarkEnd w:id="49"/>
    </w:p>
    <w:p>
      <w:pPr>
        <w:pStyle w:val="FirstParagraph"/>
      </w:pPr>
      <w:r>
        <w:rPr>
          <w:b/>
          <w:bCs/>
        </w:rPr>
        <w:t xml:space="preserve">Table 7.</w:t>
      </w:r>
      <w:r>
        <w:t xml:space="preserve"> </w:t>
      </w:r>
      <w:r>
        <w:t xml:space="preserve">Test AUC after retraining on a fraction of the training partition (three seeds pooled; 100 % row from the main experiment); DeLong p for TAMES AI vs the image-only CNN.</w:t>
      </w:r>
    </w:p>
    <w:tbl>
      <w:tblPr>
        <w:tblStyle w:val="Table"/>
        <w:tblW w:type="pct" w:w="5000"/>
        <w:tblLayout w:type="fixed"/>
        <w:tblLook w:firstRow="1" w:lastRow="0" w:firstColumn="0" w:lastColumn="0" w:noHBand="0" w:noVBand="0" w:val="0020"/>
      </w:tblPr>
      <w:tblGrid>
        <w:gridCol w:w="968"/>
        <w:gridCol w:w="1367"/>
        <w:gridCol w:w="1367"/>
        <w:gridCol w:w="1367"/>
        <w:gridCol w:w="1424"/>
        <w:gridCol w:w="1424"/>
      </w:tblGrid>
      <w:tr>
        <w:trPr>
          <w:tblHeader w:val="on"/>
        </w:trPr>
        <w:tc>
          <w:tcPr/>
          <w:p>
            <w:pPr>
              <w:pStyle w:val="Compact"/>
              <w:spacing w:after="20" w:before="20" w:line="240" w:lineRule="auto"/>
            </w:pPr>
            <w:r>
              <w:rPr>
                <w:sz w:val="18"/>
              </w:rPr>
              <w:t xml:space="preserve">Training images</w:t>
            </w:r>
          </w:p>
        </w:tc>
        <w:tc>
          <w:tcPr/>
          <w:p>
            <w:pPr>
              <w:pStyle w:val="Compact"/>
              <w:spacing w:after="20" w:before="20" w:line="240" w:lineRule="auto"/>
            </w:pPr>
            <w:r>
              <w:rPr>
                <w:sz w:val="18"/>
              </w:rPr>
              <w:t xml:space="preserve">TAMES AI</w:t>
            </w:r>
          </w:p>
        </w:tc>
        <w:tc>
          <w:tcPr/>
          <w:p>
            <w:pPr>
              <w:pStyle w:val="Compact"/>
              <w:spacing w:after="20" w:before="20" w:line="240" w:lineRule="auto"/>
            </w:pPr>
            <w:r>
              <w:rPr>
                <w:sz w:val="18"/>
              </w:rPr>
              <w:t xml:space="preserve">Image-only CNN</w:t>
            </w:r>
          </w:p>
        </w:tc>
        <w:tc>
          <w:tcPr/>
          <w:p>
            <w:pPr>
              <w:pStyle w:val="Compact"/>
              <w:spacing w:after="20" w:before="20" w:line="240" w:lineRule="auto"/>
            </w:pPr>
            <w:r>
              <w:rPr>
                <w:sz w:val="18"/>
              </w:rPr>
              <w:t xml:space="preserve">Late fusion</w:t>
            </w:r>
          </w:p>
        </w:tc>
        <w:tc>
          <w:tcPr/>
          <w:p>
            <w:pPr>
              <w:pStyle w:val="Compact"/>
              <w:spacing w:after="20" w:before="20" w:line="240" w:lineRule="auto"/>
            </w:pPr>
            <w:r>
              <w:rPr>
                <w:sz w:val="18"/>
              </w:rPr>
              <w:t xml:space="preserve">Descriptor-only XGBoost</w:t>
            </w:r>
          </w:p>
        </w:tc>
        <w:tc>
          <w:tcPr/>
          <w:p>
            <w:pPr>
              <w:pStyle w:val="Compact"/>
              <w:spacing w:after="20" w:before="20" w:line="240" w:lineRule="auto"/>
            </w:pPr>
            <w:r>
              <w:rPr>
                <w:sz w:val="18"/>
              </w:rPr>
              <w:t xml:space="preserve">p (TAMES vs image-only)</w:t>
            </w:r>
          </w:p>
        </w:tc>
      </w:tr>
      <w:tr>
        <w:tc>
          <w:tcPr/>
          <w:p>
            <w:pPr>
              <w:pStyle w:val="Compact"/>
              <w:spacing w:after="20" w:before="20" w:line="240" w:lineRule="auto"/>
            </w:pPr>
            <w:r>
              <w:rPr>
                <w:sz w:val="18"/>
              </w:rPr>
              <w:t xml:space="preserve">10 % (230)</w:t>
            </w:r>
          </w:p>
        </w:tc>
        <w:tc>
          <w:tcPr/>
          <w:p>
            <w:pPr>
              <w:pStyle w:val="Compact"/>
              <w:spacing w:after="20" w:before="20" w:line="240" w:lineRule="auto"/>
            </w:pPr>
            <w:r>
              <w:rPr>
                <w:sz w:val="18"/>
              </w:rPr>
              <w:t xml:space="preserve">0.765 [0.728, 0.803]</w:t>
            </w:r>
          </w:p>
        </w:tc>
        <w:tc>
          <w:tcPr/>
          <w:p>
            <w:pPr>
              <w:pStyle w:val="Compact"/>
              <w:spacing w:after="20" w:before="20" w:line="240" w:lineRule="auto"/>
            </w:pPr>
            <w:r>
              <w:rPr>
                <w:sz w:val="18"/>
              </w:rPr>
              <w:t xml:space="preserve">0.766 [0.729, 0.801]</w:t>
            </w:r>
          </w:p>
        </w:tc>
        <w:tc>
          <w:tcPr/>
          <w:p>
            <w:pPr>
              <w:pStyle w:val="Compact"/>
              <w:spacing w:after="20" w:before="20" w:line="240" w:lineRule="auto"/>
            </w:pPr>
            <w:r>
              <w:rPr>
                <w:sz w:val="18"/>
              </w:rPr>
              <w:t xml:space="preserve">0.752 [0.715, 0.790]</w:t>
            </w:r>
          </w:p>
        </w:tc>
        <w:tc>
          <w:tcPr/>
          <w:p>
            <w:pPr>
              <w:pStyle w:val="Compact"/>
              <w:spacing w:after="20" w:before="20" w:line="240" w:lineRule="auto"/>
            </w:pPr>
            <w:r>
              <w:rPr>
                <w:sz w:val="18"/>
              </w:rPr>
              <w:t xml:space="preserve">0.658 [0.617, 0.702]</w:t>
            </w:r>
          </w:p>
        </w:tc>
        <w:tc>
          <w:tcPr/>
          <w:p>
            <w:pPr>
              <w:pStyle w:val="Compact"/>
              <w:spacing w:after="20" w:before="20" w:line="240" w:lineRule="auto"/>
            </w:pPr>
            <w:r>
              <w:rPr>
                <w:sz w:val="18"/>
              </w:rPr>
              <w:t xml:space="preserve">0.97</w:t>
            </w:r>
          </w:p>
        </w:tc>
      </w:tr>
      <w:tr>
        <w:tc>
          <w:tcPr/>
          <w:p>
            <w:pPr>
              <w:pStyle w:val="Compact"/>
              <w:spacing w:after="20" w:before="20" w:line="240" w:lineRule="auto"/>
            </w:pPr>
            <w:r>
              <w:rPr>
                <w:sz w:val="18"/>
              </w:rPr>
              <w:t xml:space="preserve">25 % (576)</w:t>
            </w:r>
          </w:p>
        </w:tc>
        <w:tc>
          <w:tcPr/>
          <w:p>
            <w:pPr>
              <w:pStyle w:val="Compact"/>
              <w:spacing w:after="20" w:before="20" w:line="240" w:lineRule="auto"/>
            </w:pPr>
            <w:r>
              <w:rPr>
                <w:sz w:val="18"/>
              </w:rPr>
              <w:t xml:space="preserve">0.790 [0.753, 0.826]</w:t>
            </w:r>
          </w:p>
        </w:tc>
        <w:tc>
          <w:tcPr/>
          <w:p>
            <w:pPr>
              <w:pStyle w:val="Compact"/>
              <w:spacing w:after="20" w:before="20" w:line="240" w:lineRule="auto"/>
            </w:pPr>
            <w:r>
              <w:rPr>
                <w:sz w:val="18"/>
              </w:rPr>
              <w:t xml:space="preserve">0.791 [0.756, 0.827]</w:t>
            </w:r>
          </w:p>
        </w:tc>
        <w:tc>
          <w:tcPr/>
          <w:p>
            <w:pPr>
              <w:pStyle w:val="Compact"/>
              <w:spacing w:after="20" w:before="20" w:line="240" w:lineRule="auto"/>
            </w:pPr>
            <w:r>
              <w:rPr>
                <w:sz w:val="18"/>
              </w:rPr>
              <w:t xml:space="preserve">0.776 [0.740, 0.814]</w:t>
            </w:r>
          </w:p>
        </w:tc>
        <w:tc>
          <w:tcPr/>
          <w:p>
            <w:pPr>
              <w:pStyle w:val="Compact"/>
              <w:spacing w:after="20" w:before="20" w:line="240" w:lineRule="auto"/>
            </w:pPr>
            <w:r>
              <w:rPr>
                <w:sz w:val="18"/>
              </w:rPr>
              <w:t xml:space="preserve">0.663 [0.621, 0.709]</w:t>
            </w:r>
          </w:p>
        </w:tc>
        <w:tc>
          <w:tcPr/>
          <w:p>
            <w:pPr>
              <w:pStyle w:val="Compact"/>
              <w:spacing w:after="20" w:before="20" w:line="240" w:lineRule="auto"/>
            </w:pPr>
            <w:r>
              <w:rPr>
                <w:sz w:val="18"/>
              </w:rPr>
              <w:t xml:space="preserve">0.92</w:t>
            </w:r>
          </w:p>
        </w:tc>
      </w:tr>
      <w:tr>
        <w:tc>
          <w:tcPr/>
          <w:p>
            <w:pPr>
              <w:pStyle w:val="Compact"/>
              <w:spacing w:after="20" w:before="20" w:line="240" w:lineRule="auto"/>
            </w:pPr>
            <w:r>
              <w:rPr>
                <w:sz w:val="18"/>
              </w:rPr>
              <w:t xml:space="preserve">50 % (1,152)</w:t>
            </w:r>
          </w:p>
        </w:tc>
        <w:tc>
          <w:tcPr/>
          <w:p>
            <w:pPr>
              <w:pStyle w:val="Compact"/>
              <w:spacing w:after="20" w:before="20" w:line="240" w:lineRule="auto"/>
            </w:pPr>
            <w:r>
              <w:rPr>
                <w:sz w:val="18"/>
              </w:rPr>
              <w:t xml:space="preserve">0.780 [0.741, 0.818]</w:t>
            </w:r>
          </w:p>
        </w:tc>
        <w:tc>
          <w:tcPr/>
          <w:p>
            <w:pPr>
              <w:pStyle w:val="Compact"/>
              <w:spacing w:after="20" w:before="20" w:line="240" w:lineRule="auto"/>
            </w:pPr>
            <w:r>
              <w:rPr>
                <w:sz w:val="18"/>
              </w:rPr>
              <w:t xml:space="preserve">0.791 [0.752, 0.828]</w:t>
            </w:r>
          </w:p>
        </w:tc>
        <w:tc>
          <w:tcPr/>
          <w:p>
            <w:pPr>
              <w:pStyle w:val="Compact"/>
              <w:spacing w:after="20" w:before="20" w:line="240" w:lineRule="auto"/>
            </w:pPr>
            <w:r>
              <w:rPr>
                <w:sz w:val="18"/>
              </w:rPr>
              <w:t xml:space="preserve">0.791 [0.753, 0.827]</w:t>
            </w:r>
          </w:p>
        </w:tc>
        <w:tc>
          <w:tcPr/>
          <w:p>
            <w:pPr>
              <w:pStyle w:val="Compact"/>
              <w:spacing w:after="20" w:before="20" w:line="240" w:lineRule="auto"/>
            </w:pPr>
            <w:r>
              <w:rPr>
                <w:sz w:val="18"/>
              </w:rPr>
              <w:t xml:space="preserve">0.692 [0.652, 0.736]</w:t>
            </w:r>
          </w:p>
        </w:tc>
        <w:tc>
          <w:tcPr/>
          <w:p>
            <w:pPr>
              <w:pStyle w:val="Compact"/>
              <w:spacing w:after="20" w:before="20" w:line="240" w:lineRule="auto"/>
            </w:pPr>
            <w:r>
              <w:rPr>
                <w:sz w:val="18"/>
              </w:rPr>
              <w:t xml:space="preserve">0.42</w:t>
            </w:r>
          </w:p>
        </w:tc>
      </w:tr>
      <w:tr>
        <w:tc>
          <w:tcPr/>
          <w:p>
            <w:pPr>
              <w:pStyle w:val="Compact"/>
              <w:spacing w:after="20" w:before="20" w:line="240" w:lineRule="auto"/>
            </w:pPr>
            <w:r>
              <w:rPr>
                <w:sz w:val="18"/>
              </w:rPr>
              <w:t xml:space="preserve">100 % (2,303)</w:t>
            </w:r>
          </w:p>
        </w:tc>
        <w:tc>
          <w:tcPr/>
          <w:p>
            <w:pPr>
              <w:pStyle w:val="Compact"/>
              <w:spacing w:after="20" w:before="20" w:line="240" w:lineRule="auto"/>
            </w:pPr>
            <w:r>
              <w:rPr>
                <w:sz w:val="18"/>
              </w:rPr>
              <w:t xml:space="preserve">0.815 [0.779, 0.848]</w:t>
            </w:r>
          </w:p>
        </w:tc>
        <w:tc>
          <w:tcPr/>
          <w:p>
            <w:pPr>
              <w:pStyle w:val="Compact"/>
              <w:spacing w:after="20" w:before="20" w:line="240" w:lineRule="auto"/>
            </w:pPr>
            <w:r>
              <w:rPr>
                <w:sz w:val="18"/>
              </w:rPr>
              <w:t xml:space="preserve">0.830 [0.794, 0.861]</w:t>
            </w:r>
          </w:p>
        </w:tc>
        <w:tc>
          <w:tcPr/>
          <w:p>
            <w:pPr>
              <w:pStyle w:val="Compact"/>
              <w:spacing w:after="20" w:before="20" w:line="240" w:lineRule="auto"/>
            </w:pPr>
            <w:r>
              <w:rPr>
                <w:sz w:val="18"/>
              </w:rPr>
              <w:t xml:space="preserve">0.802 [0.767, 0.837]</w:t>
            </w:r>
          </w:p>
        </w:tc>
        <w:tc>
          <w:tcPr/>
          <w:p>
            <w:pPr>
              <w:pStyle w:val="Compact"/>
              <w:spacing w:after="20" w:before="20" w:line="240" w:lineRule="auto"/>
            </w:pPr>
            <w:r>
              <w:rPr>
                <w:sz w:val="18"/>
              </w:rPr>
              <w:t xml:space="preserve">0.684 [0.644, 0.728]</w:t>
            </w:r>
          </w:p>
        </w:tc>
        <w:tc>
          <w:tcPr/>
          <w:p>
            <w:pPr>
              <w:pStyle w:val="Compact"/>
              <w:spacing w:after="20" w:before="20" w:line="240" w:lineRule="auto"/>
            </w:pPr>
            <w:r>
              <w:rPr>
                <w:sz w:val="18"/>
              </w:rPr>
              <w:t xml:space="preserve">0.10</w:t>
            </w:r>
          </w:p>
        </w:tc>
      </w:tr>
    </w:tbl>
    <w:p>
      <w:pPr>
        <w:pStyle w:val="FirstParagraph"/>
      </w:pPr>
      <w:r>
        <w:t xml:space="preserve">At no fraction did TAMES AI differ from the image-only CNN (p = 0.42–0.97); with a tenth of the data both reached 0.77. The fuzzy processing therefore acts as no data-efficient prior, and the ImageNet initialization, shared by both models, is what carries the low-data regime. Figure 6 shows the curves.</w:t>
      </w:r>
    </w:p>
    <w:p>
      <w:pPr>
        <w:pStyle w:val="BodyText"/>
      </w:pPr>
      <w:r>
        <w:drawing>
          <wp:inline>
            <wp:extent cx="3059999" cy="2254999"/>
            <wp:effectExtent b="0" l="0" r="0" t="0"/>
            <wp:docPr descr="" title="" id="51" name="Picture"/>
            <a:graphic>
              <a:graphicData uri="http://schemas.openxmlformats.org/drawingml/2006/picture">
                <pic:pic>
                  <pic:nvPicPr>
                    <pic:cNvPr descr="figures/fig6_lowdata.png" id="52" name="Picture"/>
                    <pic:cNvPicPr>
                      <a:picLocks noChangeArrowheads="1" noChangeAspect="1"/>
                    </pic:cNvPicPr>
                  </pic:nvPicPr>
                  <pic:blipFill>
                    <a:blip r:embed="rId50"/>
                    <a:stretch>
                      <a:fillRect/>
                    </a:stretch>
                  </pic:blipFill>
                  <pic:spPr bwMode="auto">
                    <a:xfrm>
                      <a:off x="0" y="0"/>
                      <a:ext cx="3059999" cy="2254999"/>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Test AUC after retraining on 10, 25, 50 and 100 % of the training partition (Experiment E3; three seeds pooled at 10–50 %, five at 100 %; bars 95 % bootstrap CI; values in Table 7).</w:t>
      </w:r>
    </w:p>
    <w:p>
      <w:pPr>
        <w:pStyle w:val="Heading1"/>
      </w:pPr>
      <w:bookmarkStart w:id="53" w:name="_8d9999388a55461a602e8f245592a19c3b6be23"/>
      <w:r>
        <w:t xml:space="preserve">5.8 Calibration and threshold transfer</w:t>
      </w:r>
      <w:bookmarkEnd w:id="53"/>
    </w:p>
    <w:p>
      <w:pPr>
        <w:pStyle w:val="FirstParagraph"/>
      </w:pPr>
      <w:r>
        <w:t xml:space="preserve">On the test set the Brier score was 0.169 for TAMES AI, 0.167 for the image-only CNN and 0.176 for the late fusion; the calibration slope and intercept were 1.07 and 0.16 for TAMES AI, 0.85 and −0.43 for the image-only CNN and 0.98 and 0.08 for the late fusion (Figure 7), so the ensemble gave the best-calibrated probabilities while the single network was over-confident. Every model lost about 0.05 AUC between validation and test (0.869 → 0.815 for TAMES AI): the official test set has a higher malignant prevalence (38.4 % vs 33.8 %) and higher image SNR than the validation fold. The operating point fixed on validation for sensitivity ≥ 95 % delivered 94.9 % sensitivity and 32.3 % specificity on the test set; at the Youden threshold they were 56.4 % and 88.1 %. Where the prevalence of the deployment population differs further from the development data, Eq. (15) is the mechanism to move the operating point without retraining; it was not applied here because the test prevalence must not inform the model.</w:t>
      </w:r>
    </w:p>
    <w:p>
      <w:pPr>
        <w:pStyle w:val="BodyText"/>
      </w:pPr>
      <w:r>
        <w:drawing>
          <wp:inline>
            <wp:extent cx="5334000" cy="2438084"/>
            <wp:effectExtent b="0" l="0" r="0" t="0"/>
            <wp:docPr descr="" title="" id="55" name="Picture"/>
            <a:graphic>
              <a:graphicData uri="http://schemas.openxmlformats.org/drawingml/2006/picture">
                <pic:pic>
                  <pic:nvPicPr>
                    <pic:cNvPr descr="figures/fig7_calibration.png" id="56" name="Picture"/>
                    <pic:cNvPicPr>
                      <a:picLocks noChangeArrowheads="1" noChangeAspect="1"/>
                    </pic:cNvPicPr>
                  </pic:nvPicPr>
                  <pic:blipFill>
                    <a:blip r:embed="rId54"/>
                    <a:stretch>
                      <a:fillRect/>
                    </a:stretch>
                  </pic:blipFill>
                  <pic:spPr bwMode="auto">
                    <a:xfrm>
                      <a:off x="0" y="0"/>
                      <a:ext cx="5334000" cy="2438084"/>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Calibration on the official test set. (a) Binned reliability diagram (ten bins; marker area proportional to the bin count); slope and intercept of the logistic calibration fit in the legend. (b) Distribution of the predicted probabilities; the dashed line marks</w:t>
      </w:r>
      <w:r>
        <w:t xml:space="preserve"> </w:t>
      </w:r>
      <m:oMath>
        <m:sSup>
          <m:e>
            <m:r>
              <m:t>t</m:t>
            </m:r>
          </m:e>
          <m:sup>
            <m:r>
              <m:rPr>
                <m:sty m:val="p"/>
              </m:rPr>
              <m:t>*</m:t>
            </m:r>
          </m:sup>
        </m:sSup>
      </m:oMath>
      <w:r>
        <w:t xml:space="preserve"> </w:t>
      </w:r>
      <w:r>
        <w:t xml:space="preserve">= 0.134, the TAMES AI threshold fixed on validation.</w:t>
      </w:r>
    </w:p>
    <w:p>
      <w:pPr>
        <w:pStyle w:val="Heading1"/>
      </w:pPr>
      <w:bookmarkStart w:id="57" w:name="_explanations"/>
      <w:r>
        <w:t xml:space="preserve">5.9 Explanations</w:t>
      </w:r>
      <w:bookmarkEnd w:id="57"/>
    </w:p>
    <w:p>
      <w:pPr>
        <w:pStyle w:val="FirstParagraph"/>
      </w:pPr>
      <w:r>
        <w:t xml:space="preserve">In the ensemble attribution over 200 test images the image embedding carried the largest share of |SHAP| (84.9 % of the total), followed by solidity, irregularity, eccentricity, taller-than-wide ratio, area fraction,</w:t>
      </w:r>
      <w:r>
        <w:t xml:space="preserve"> </w:t>
      </w:r>
      <m:oMath>
        <m:sSub>
          <m:e>
            <m:r>
              <m:t>Q</m:t>
            </m:r>
          </m:e>
          <m:sub>
            <m:r>
              <m:t>i</m:t>
            </m:r>
            <m:r>
              <m:t>m</m:t>
            </m:r>
            <m:r>
              <m:t>g</m:t>
            </m:r>
          </m:sub>
        </m:sSub>
      </m:oMath>
      <w:r>
        <w:t xml:space="preserve">, echo SD, bright-spot fraction and echo mean; eight of these ten stayed in the top ten in at least 95 % of 2,000 resamples (bright-spot fraction 89 %, echo mean 80 %) (Figure 8a). That</w:t>
      </w:r>
      <w:r>
        <w:t xml:space="preserve"> </w:t>
      </w:r>
      <m:oMath>
        <m:sSub>
          <m:e>
            <m:r>
              <m:t>Q</m:t>
            </m:r>
          </m:e>
          <m:sub>
            <m:r>
              <m:t>i</m:t>
            </m:r>
            <m:r>
              <m:t>m</m:t>
            </m:r>
            <m:r>
              <m:t>g</m:t>
            </m:r>
          </m:sub>
        </m:sSub>
      </m:oMath>
      <w:r>
        <w:t xml:space="preserve"> </w:t>
      </w:r>
      <w:r>
        <w:t xml:space="preserve">ranks seventh although its removal did not change the AUC (Table 4) is consistent with the robustness result: the learners do use q, which is why an out-of-range q harms them. Grad-CAM deletion AUC was 0.305 against 0.311 for the random-saliency control and insertion AUC 0.510 against 0.316, so the maps are faithful on insertion (the highlighted region is sufficient for the prediction) but not demonstrably on deletion; Figure 8b shows one test case of each outcome type at</w:t>
      </w:r>
      <w:r>
        <w:t xml:space="preserve"> </w:t>
      </w:r>
      <m:oMath>
        <m:sSup>
          <m:e>
            <m:r>
              <m:t>t</m:t>
            </m:r>
          </m:e>
          <m:sup>
            <m:r>
              <m:rPr>
                <m:sty m:val="p"/>
              </m:rPr>
              <m:t>*</m:t>
            </m:r>
          </m:sup>
        </m:sSup>
      </m:oMath>
      <w:r>
        <w:t xml:space="preserve">: on a colour scale shared by the four cases only the true positive (p = 0.57) carries appreciable saliency, concentrated on the nodule; the three cases with p ≤ 0.22 give weak maps which, rescaled individually, are diffuse or, in the false positive, placed on a bright structure beside the nodule, which is consistent with the deletion result. Subgroup AUCs by nodule size were 0.747 for nodules below the median area fraction (0.068; n = 307) and 0.841 above it (n = 307): the small nodules are the harder half.</w:t>
      </w:r>
    </w:p>
    <w:p>
      <w:pPr>
        <w:pStyle w:val="BodyText"/>
      </w:pPr>
      <w:r>
        <w:drawing>
          <wp:inline>
            <wp:extent cx="5334000" cy="4084613"/>
            <wp:effectExtent b="0" l="0" r="0" t="0"/>
            <wp:docPr descr="" title="" id="59" name="Picture"/>
            <a:graphic>
              <a:graphicData uri="http://schemas.openxmlformats.org/drawingml/2006/picture">
                <pic:pic>
                  <pic:nvPicPr>
                    <pic:cNvPr descr="figures/fig8_explanations_300dpi.jpg" id="60" name="Picture"/>
                    <pic:cNvPicPr>
                      <a:picLocks noChangeArrowheads="1" noChangeAspect="1"/>
                    </pic:cNvPicPr>
                  </pic:nvPicPr>
                  <pic:blipFill>
                    <a:blip r:embed="rId58"/>
                    <a:stretch>
                      <a:fillRect/>
                    </a:stretch>
                  </pic:blipFill>
                  <pic:spPr bwMode="auto">
                    <a:xfrm>
                      <a:off x="0" y="0"/>
                      <a:ext cx="5334000" cy="4084613"/>
                    </a:xfrm>
                    <a:prstGeom prst="rect">
                      <a:avLst/>
                    </a:prstGeom>
                    <a:noFill/>
                    <a:ln w="9525">
                      <a:noFill/>
                      <a:headEnd/>
                      <a:tailEnd/>
                    </a:ln>
                  </pic:spPr>
                </pic:pic>
              </a:graphicData>
            </a:graphic>
          </wp:inline>
        </w:drawing>
      </w:r>
    </w:p>
    <w:p>
      <w:pPr>
        <w:pStyle w:val="BodyText"/>
      </w:pPr>
      <w:r>
        <w:rPr>
          <w:b/>
          <w:bCs/>
        </w:rPr>
        <w:t xml:space="preserve">Figure 8.</w:t>
      </w:r>
      <w:r>
        <w:t xml:space="preserve"> </w:t>
      </w:r>
      <w:r>
        <w:t xml:space="preserve">Explanations. (a) Mean |SHAP| of each fused input in the ensemble attribution over 200 test images, split by learner share</w:t>
      </w:r>
      <w:r>
        <w:t xml:space="preserve"> </w:t>
      </w:r>
      <m:oMath>
        <m:sSub>
          <m:e>
            <m:r>
              <m:t>ω</m:t>
            </m:r>
          </m:e>
          <m:sub>
            <m:r>
              <m:t>k</m:t>
            </m:r>
          </m:sub>
        </m:sSub>
      </m:oMath>
      <w:r>
        <w:t xml:space="preserve">·|</w:t>
      </w:r>
      <m:oMath>
        <m:sSub>
          <m:e>
            <m:r>
              <m:t>φ</m:t>
            </m:r>
          </m:e>
          <m:sub>
            <m:r>
              <m:t>k</m:t>
            </m:r>
          </m:sub>
        </m:sSub>
      </m:oMath>
      <w:r>
        <w:t xml:space="preserve">|; the image embedding</w:t>
      </w:r>
      <w:r>
        <w:t xml:space="preserve"> </w:t>
      </w:r>
      <m:oMath>
        <m:sSub>
          <m:e>
            <m:r>
              <m:t>h</m:t>
            </m:r>
          </m:e>
          <m:sub>
            <m:r>
              <m:t>i</m:t>
            </m:r>
            <m:r>
              <m:t>m</m:t>
            </m:r>
            <m:r>
              <m:t>g</m:t>
            </m:r>
          </m:sub>
        </m:sSub>
      </m:oMath>
      <w:r>
        <w:t xml:space="preserve"> </w:t>
      </w:r>
      <w:r>
        <w:t xml:space="preserve">(84.9 % of the total) is drawn hatched and not to scale; the percentage is the share of 2,000 resamples in which the feature stayed in the top ten. (b) Grad-CAM of the image branch for one test case of each outcome type at</w:t>
      </w:r>
      <w:r>
        <w:t xml:space="preserve"> </w:t>
      </w:r>
      <m:oMath>
        <m:sSup>
          <m:e>
            <m:r>
              <m:t>t</m:t>
            </m:r>
          </m:e>
          <m:sup>
            <m:r>
              <m:rPr>
                <m:sty m:val="p"/>
              </m:rPr>
              <m:t>*</m:t>
            </m:r>
          </m:sup>
        </m:sSup>
      </m:oMath>
      <w:r>
        <w:t xml:space="preserve"> </w:t>
      </w:r>
      <w:r>
        <w:t xml:space="preserve">(y = label, p = TAMES AI probability): the saliency map on a colour scale shared by the four cases (middle) and rescaled per map (right).</w:t>
      </w:r>
    </w:p>
    <w:p>
      <w:pPr>
        <w:pStyle w:val="Heading1"/>
      </w:pPr>
      <w:bookmarkStart w:id="61" w:name="_discussion"/>
      <w:r>
        <w:t xml:space="preserve">6. Discussion</w:t>
      </w:r>
      <w:bookmarkEnd w:id="61"/>
    </w:p>
    <w:p>
      <w:pPr>
        <w:pStyle w:val="FirstParagraph"/>
      </w:pPr>
      <w:r>
        <w:t xml:space="preserve">The central finding is negative for the setting in which most thyroid-ultrasound models are evaluated and qualifiedly positive for the setting in which they would be used. With an expert delineation and clean images, TAMES AI, an image-only CNN and a conventional late fusion were indistinguishable (Table 3; the CNN was numerically ahead), and no component of the framework changed the result (Table 4). This is explained rather than surprising: the fuzzy map F is a deterministic function of the image, which a convolutional network can learn; the descriptors are computed from a delineation whose bounding box already defines the crop; and the four learners share one embedding, so the ensemble cannot move far from its best member. The information the framework adds is information the backbone already has.</w:t>
      </w:r>
    </w:p>
    <w:p>
      <w:pPr>
        <w:pStyle w:val="BodyText"/>
      </w:pPr>
      <w:r>
        <w:t xml:space="preserve">The picture changes when the delineation is not given. Without the radiologist mask the image-only CNN lost 0.025 AUC and the late fusion 0.017, while TAMES AI did not lose at all (Table 5); its margin over the late fusion survived correction (Holm p = 0.010) and its margin over the CNN did not (p = 0.09). The fuzzy map, whose segmentation Dice is modest in isolation (Section 5.2), localizes the nodule well enough for the crop and produces descriptors that still carry signal, and the fused learners exploit them. This is the uncertainty a deployed system meets most often: not pixel noise, but an imperfect answer to</w:t>
      </w:r>
      <w:r>
        <w:t xml:space="preserve"> </w:t>
      </w:r>
      <w:r>
        <w:t xml:space="preserve">“where is the nodule”</w:t>
      </w:r>
      <w:r>
        <w:t xml:space="preserve">. The robustness experiment points the other way for pixel-level uncertainty. Under synthetic noise TAMES AI degraded more than any comparator, and the ablation-(c) comparison attributes about a third of that loss to the multiplicative quality gating of Eq. (11) and the rest to the fuzzy inputs themselves. Scaling an embedding by q is the right intent and the wrong form: once q leaves the training range it drives the fused vector out of distribution. Clipping q to that range, passing q as a feature without multiplying, and training with noise augmentation so that the fuzzy channel is seen under degradation are the obvious corrections; we did not apply them after seeing the test results, and they are the first items of future work. The low-data experiment showed no prior-like benefit of the fuzzy processing; with a shared ImageNet initialization both models reached 0.77 on a tenth of the data.</w:t>
      </w:r>
    </w:p>
    <w:p>
      <w:pPr>
        <w:pStyle w:val="BodyText"/>
      </w:pPr>
      <w:r>
        <w:t xml:space="preserve">The absolute performance (AUC 0.82–0.83) is in line with image-level classifiers reported on TN3K, whose labels are known to be noisy [37], and below the pooled estimates for proprietary cohorts [4–6, 15]. The 0.05 drop from validation to test in every model shows that even within one dataset the released test set is a different population; the validation-fixed operating point nevertheless transferred (94.9 % sensitivity against a 95 % target), and where the deployment prevalence is known the prior-shift mechanism of Eq. (15) is the principled way to move it. Two secondary results favour the ensemble: it produced the best-calibrated probabilities (slope 1.07 against 0.85 for the over-confident single network), which matters when the output is read as a risk, and its SHAP ranking was stable under resampling. The Grad-CAM audit is only half positive — the highlighted region is sufficient for the prediction (insertion) but its removal does not hurt more than removing random pixels (deletion) — and we report it as such rather than as evidence of faithfulness. That</w:t>
      </w:r>
      <w:r>
        <w:t xml:space="preserve"> </w:t>
      </w:r>
      <m:oMath>
        <m:sSub>
          <m:e>
            <m:r>
              <m:t>Q</m:t>
            </m:r>
          </m:e>
          <m:sub>
            <m:r>
              <m:t>i</m:t>
            </m:r>
            <m:r>
              <m:t>m</m:t>
            </m:r>
            <m:r>
              <m:t>g</m:t>
            </m:r>
          </m:sub>
        </m:sSub>
      </m:oMath>
      <w:r>
        <w:t xml:space="preserve"> </w:t>
      </w:r>
      <w:r>
        <w:t xml:space="preserve">ranks among the top SHAP features while its ablation is null shows that attribution and ablation answer different questions: the learners use q, but what q contributes on clean images is available elsewhere. Relative to the submitted version of this work, every performance figure has been replaced by one produced by the released code, and the equations have been corrected so that every quantity is defined and bounded.</w:t>
      </w:r>
    </w:p>
    <w:p>
      <w:pPr>
        <w:pStyle w:val="BodyText"/>
      </w:pPr>
      <w:r>
        <w:rPr>
          <w:b/>
          <w:bCs/>
        </w:rPr>
        <w:t xml:space="preserve">Limitations.</w:t>
      </w:r>
      <w:r>
        <w:t xml:space="preserve"> </w:t>
      </w:r>
      <w:r>
        <w:t xml:space="preserve">A single public dataset from one institution, with labels whose cytological or histological basis is not documented and no patient identifiers, so the split is image-level and the internal estimates may be optimistic. The descriptors of the main experiment depend on a radiologist delineation; the fully automatic experiment removes that dependence but inherits the modest quality of the fuzzy localization. The laboratory, clinical and regional branches of the framework, and the regional prior, are defined but untested, so nothing in this study supports claims about iodine-deficient populations. The training partition is below the Riley et al. minimum for 141 predictors (779 events against 1,528), and hyperparameters were selected by grid search on one validation fold with two fuzzy parameters at the grid edge; nested cross-validation and a wider grid would give less optimistic selection. The robustness experiment uses synthetic degradations, not scanner or operator variation. No external validation or reader study was performed.</w:t>
      </w:r>
    </w:p>
    <w:p>
      <w:pPr>
        <w:pStyle w:val="Heading1"/>
      </w:pPr>
      <w:bookmarkStart w:id="62" w:name="_conclusion"/>
      <w:r>
        <w:t xml:space="preserve">7. Conclusion</w:t>
      </w:r>
      <w:bookmarkEnd w:id="62"/>
    </w:p>
    <w:p>
      <w:pPr>
        <w:pStyle w:val="FirstParagraph"/>
      </w:pPr>
      <w:r>
        <w:t xml:space="preserve">An uncertainty-aware thyroid-nodule classifier built from adaptive fuzzy image processing, quality-weighted fusion and a hybrid ensemble matched, but did not exceed, an image-only convolutional network on TN3K when an expert delineation was available. It retained its accuracy when the delineation was produced automatically, which is the condition under which such a system would be deployed, while the network and the late fusion lost accuracy; it gave better-calibrated probabilities; and its multiplicative quality gating and fuzzy inputs proved liabilities under heavy noise. The framework, the corrected mathematics and the full experimental protocol are released as reproducible code. Revising the quality gating, and validating the laboratory, clinical and regional branches on a prospective clinical cohort, are the next steps; the present results give no basis for clinical use.</w:t>
      </w:r>
    </w:p>
    <w:p>
      <w:pPr>
        <w:pStyle w:val="Heading1"/>
      </w:pPr>
      <w:bookmarkStart w:id="63" w:name="_declarations"/>
      <w:r>
        <w:t xml:space="preserve">Declarations</w:t>
      </w:r>
      <w:bookmarkEnd w:id="63"/>
    </w:p>
    <w:p>
      <w:pPr>
        <w:pStyle w:val="FirstParagraph"/>
      </w:pPr>
      <w:r>
        <w:rPr>
          <w:b/>
          <w:bCs/>
        </w:rPr>
        <w:t xml:space="preserve">Data availability.</w:t>
      </w:r>
      <w:r>
        <w:t xml:space="preserve"> </w:t>
      </w:r>
      <w:r>
        <w:t xml:space="preserve">The TN3K images and masks are available from the TRFE-Net repository [35, 36] and the classification labels from the ACL release [37], under their authors’ terms; this study redistributes neither. The derived split table, selected parameters, per-image predictions and all result files are released with the code.</w:t>
      </w:r>
    </w:p>
    <w:p>
      <w:pPr>
        <w:pStyle w:val="BodyText"/>
      </w:pPr>
      <w:r>
        <w:rPr>
          <w:b/>
          <w:bCs/>
        </w:rPr>
        <w:t xml:space="preserve">Code availability.</w:t>
      </w:r>
      <w:r>
        <w:t xml:space="preserve"> </w:t>
      </w:r>
      <w:r>
        <w:t xml:space="preserve">Training and evaluation code, the statistical analysis plan and the trained weights are available at https://github.com/Mrkomiljon/tames-ai (commit 4a863f5); the trained weights are deposited at [[Zenodo DOI]].</w:t>
      </w:r>
    </w:p>
    <w:p>
      <w:pPr>
        <w:pStyle w:val="BodyText"/>
      </w:pPr>
      <w:r>
        <w:rPr>
          <w:b/>
          <w:bCs/>
        </w:rPr>
        <w:t xml:space="preserve">Ethics approval and consent.</w:t>
      </w:r>
      <w:r>
        <w:t xml:space="preserve"> </w:t>
      </w:r>
      <w:r>
        <w:t xml:space="preserve">Not required: the study used only publicly available, de-identified images released for research by their authors.</w:t>
      </w:r>
    </w:p>
    <w:p>
      <w:pPr>
        <w:pStyle w:val="BodyText"/>
      </w:pPr>
      <w:r>
        <w:rPr>
          <w:b/>
          <w:bCs/>
        </w:rPr>
        <w:t xml:space="preserve">Funding.</w:t>
      </w:r>
      <w:r>
        <w:t xml:space="preserve"> </w:t>
      </w:r>
      <w:r>
        <w:t xml:space="preserve">[[none / grant number]].</w:t>
      </w:r>
    </w:p>
    <w:p>
      <w:pPr>
        <w:pStyle w:val="BodyText"/>
      </w:pPr>
      <w:r>
        <w:rPr>
          <w:b/>
          <w:bCs/>
        </w:rPr>
        <w:t xml:space="preserve">Competing interests.</w:t>
      </w:r>
      <w:r>
        <w:t xml:space="preserve"> </w:t>
      </w:r>
      <w:r>
        <w:t xml:space="preserve">The authors declare no competing interests.</w:t>
      </w:r>
    </w:p>
    <w:p>
      <w:pPr>
        <w:pStyle w:val="BodyText"/>
      </w:pPr>
      <w:r>
        <w:rPr>
          <w:b/>
          <w:bCs/>
        </w:rPr>
        <w:t xml:space="preserve">Author contributions.</w:t>
      </w:r>
      <w:r>
        <w:t xml:space="preserve"> </w:t>
      </w:r>
      <w:r>
        <w:t xml:space="preserve">[[N.N.Z.: conceptualization, methodology, software, analysis, writing – original draft. M.A.M.: supervision, methodology, writing – review and editing. Both authors approved the final manuscript.]]</w:t>
      </w:r>
    </w:p>
    <w:p>
      <w:pPr>
        <w:pStyle w:val="Heading1"/>
      </w:pPr>
      <w:bookmarkStart w:id="64" w:name="_references"/>
      <w:r>
        <w:t xml:space="preserve">References</w:t>
      </w:r>
      <w:bookmarkEnd w:id="64"/>
    </w:p>
    <w:p>
      <w:pPr>
        <w:pStyle w:val="FirstParagraph"/>
        <w:numPr>
          <w:ilvl w:val="0"/>
          <w:numId w:val="1001"/>
        </w:numPr>
      </w:pPr>
      <w:r>
        <w:t xml:space="preserve">Haugen BR, Alexander EK, Bible KC, et al. 2015 American Thyroid Association management guidelines for adult patients with thyroid nodules and differentiated thyroid cancer. Thyroid. 2016;26(1):1–133. https://doi.org/10.1089/thy.2015.0020</w:t>
      </w:r>
    </w:p>
    <w:p>
      <w:pPr>
        <w:pStyle w:val="FirstParagraph"/>
        <w:numPr>
          <w:ilvl w:val="0"/>
          <w:numId w:val="1001"/>
        </w:numPr>
      </w:pPr>
      <w:r>
        <w:t xml:space="preserve">Tessler FN, Middleton WD, Grant EG, et al. ACR Thyroid Imaging, Reporting and Data System (TI-RADS): white paper of the ACR TI-RADS Committee. J Am Coll Radiol. 2017;14(5):587–595. https://doi.org/10.1016/j.jacr.2017.01.046</w:t>
      </w:r>
    </w:p>
    <w:p>
      <w:pPr>
        <w:pStyle w:val="FirstParagraph"/>
        <w:numPr>
          <w:ilvl w:val="0"/>
          <w:numId w:val="1001"/>
        </w:numPr>
      </w:pPr>
      <w:r>
        <w:t xml:space="preserve">Cibas ES, Ali SZ. The 2017 Bethesda System for Reporting Thyroid Cytopathology. Thyroid. 2017;27(11):1341–1346. https://doi.org/10.1089/thy.2017.0500</w:t>
      </w:r>
    </w:p>
    <w:p>
      <w:pPr>
        <w:pStyle w:val="FirstParagraph"/>
        <w:numPr>
          <w:ilvl w:val="0"/>
          <w:numId w:val="1001"/>
        </w:numPr>
      </w:pPr>
      <w:r>
        <w:t xml:space="preserve">Potipimpanon P, Charakorn N, Hirunwiwatkul P. A comparison of artificial intelligence versus radiologists in the diagnosis of thyroid nodules using ultrasonography: a systematic review and meta-analysis. Eur Arch Otorhinolaryngol. 2022;279(11):5363–5373. https://doi.org/10.1007/s00405-022-07436-1</w:t>
      </w:r>
    </w:p>
    <w:p>
      <w:pPr>
        <w:pStyle w:val="FirstParagraph"/>
        <w:numPr>
          <w:ilvl w:val="0"/>
          <w:numId w:val="1001"/>
        </w:numPr>
      </w:pPr>
      <w:r>
        <w:t xml:space="preserve">Xu L, Gao J, Wang Q, et al. Computer-aided diagnosis systems in diagnosing malignant thyroid nodules on ultrasonography: a systematic review and meta-analysis. Eur Thyroid J. 2020;9(4):186–193. https://doi.org/10.1159/000504390</w:t>
      </w:r>
    </w:p>
    <w:p>
      <w:pPr>
        <w:pStyle w:val="FirstParagraph"/>
        <w:numPr>
          <w:ilvl w:val="0"/>
          <w:numId w:val="1001"/>
        </w:numPr>
      </w:pPr>
      <w:r>
        <w:t xml:space="preserve">Gatta E, Gatta R, Morandi R, et al. Machine learning for diagnosis of malignant thyroid nodules based on thyroid ultrasound: systematic review and meta-analysis of studies with external datasets. Eur J Radiol Open. 2026;16:100716. https://doi.org/10.1016/j.ejro.2025.100716</w:t>
      </w:r>
    </w:p>
    <w:p>
      <w:pPr>
        <w:pStyle w:val="FirstParagraph"/>
        <w:numPr>
          <w:ilvl w:val="0"/>
          <w:numId w:val="1001"/>
        </w:numPr>
      </w:pPr>
      <w:r>
        <w:t xml:space="preserve">Zadeh LA. Fuzzy sets. Inf Control. 1965;8(3):338–353. https://doi.org/10.1016/S0019-9958(65)90241-X</w:t>
      </w:r>
    </w:p>
    <w:p>
      <w:pPr>
        <w:pStyle w:val="FirstParagraph"/>
        <w:numPr>
          <w:ilvl w:val="0"/>
          <w:numId w:val="1001"/>
        </w:numPr>
      </w:pPr>
      <w:r>
        <w:t xml:space="preserve">Lundberg SM, Lee S-I. A unified approach to interpreting model predictions. Adv Neural Inf Process Syst. 2017;30:4765–4774.</w:t>
      </w:r>
    </w:p>
    <w:p>
      <w:pPr>
        <w:pStyle w:val="FirstParagraph"/>
        <w:numPr>
          <w:ilvl w:val="0"/>
          <w:numId w:val="1001"/>
        </w:numPr>
      </w:pPr>
      <w:r>
        <w:t xml:space="preserve">Selvaraju RR, Cogswell M, Das A, Vedantam R, Parikh D, Batra D. Grad-CAM: visual explanations from deep networks via gradient-based localization. Proc IEEE Int Conf Comput Vis (ICCV). 2017:618–626. https://doi.org/10.1109/ICCV.2017.74</w:t>
      </w:r>
    </w:p>
    <w:p>
      <w:pPr>
        <w:pStyle w:val="FirstParagraph"/>
        <w:numPr>
          <w:ilvl w:val="0"/>
          <w:numId w:val="1001"/>
        </w:numPr>
      </w:pPr>
      <w:r>
        <w:t xml:space="preserve">LeCun Y, Bengio Y, Hinton G. Deep learning. Nature. 2015;521:436–444. https://doi.org/10.1038/nature14539</w:t>
      </w:r>
    </w:p>
    <w:p>
      <w:pPr>
        <w:pStyle w:val="FirstParagraph"/>
        <w:numPr>
          <w:ilvl w:val="0"/>
          <w:numId w:val="1001"/>
        </w:numPr>
      </w:pPr>
      <w:r>
        <w:t xml:space="preserve">He K, Zhang X, Ren S, Sun J. Deep residual learning for image recognition. Proc IEEE Conf Comput Vis Pattern Recognit (CVPR). 2016:770–778. https://doi.org/10.1109/CVPR.2016.90</w:t>
      </w:r>
    </w:p>
    <w:p>
      <w:pPr>
        <w:pStyle w:val="FirstParagraph"/>
        <w:numPr>
          <w:ilvl w:val="0"/>
          <w:numId w:val="1001"/>
        </w:numPr>
      </w:pPr>
      <w:r>
        <w:t xml:space="preserve">Ronneberger O, Fischer P, Brox T. U-Net: convolutional networks for biomedical image segmentation. In: MICCAI 2015. Springer; 2015:234–241. https://doi.org/10.1007/978-3-319-24574-4_28</w:t>
      </w:r>
    </w:p>
    <w:p>
      <w:pPr>
        <w:pStyle w:val="FirstParagraph"/>
        <w:numPr>
          <w:ilvl w:val="0"/>
          <w:numId w:val="1001"/>
        </w:numPr>
      </w:pPr>
      <w:r>
        <w:t xml:space="preserve">Chen Y, Gao Z, He Y, et al. An artificial intelligence model based on ACR TI-RADS characteristics for US diagnosis of thyroid nodules. Radiology. 2022;303(3):613–619. https://doi.org/10.1148/radiol.211455</w:t>
      </w:r>
    </w:p>
    <w:p>
      <w:pPr>
        <w:pStyle w:val="FirstParagraph"/>
        <w:numPr>
          <w:ilvl w:val="0"/>
          <w:numId w:val="1001"/>
        </w:numPr>
      </w:pPr>
      <w:r>
        <w:t xml:space="preserve">Ganne NS, Balakrishna S. EvoThy-Net: an evolutionary encoder–decoder network for thyroid nodule segmentation in ultrasound imaging. Sci Rep. 2026;16:4566. https://doi.org/10.1038/s41598-025-34731-8</w:t>
      </w:r>
    </w:p>
    <w:p>
      <w:pPr>
        <w:pStyle w:val="FirstParagraph"/>
        <w:numPr>
          <w:ilvl w:val="0"/>
          <w:numId w:val="1001"/>
        </w:numPr>
      </w:pPr>
      <w:r>
        <w:t xml:space="preserve">Tang Y, Xu Y-D, Zhao C-K, et al. External validation of a deep learning-based artificial intelligence system for ultrasound diagnosis of thyroid nodules: a two-center retrospective study. J Clin Ultrasound. 2026;54(8):1931–1941. https://doi.org/10.1002/jcu.70275</w:t>
      </w:r>
    </w:p>
    <w:p>
      <w:pPr>
        <w:pStyle w:val="FirstParagraph"/>
        <w:numPr>
          <w:ilvl w:val="0"/>
          <w:numId w:val="1001"/>
        </w:numPr>
      </w:pPr>
      <w:r>
        <w:t xml:space="preserve">Breiman L. Random forests. Mach Learn. 2001;45:5–32. https://doi.org/10.1023/A:1010933404324</w:t>
      </w:r>
    </w:p>
    <w:p>
      <w:pPr>
        <w:pStyle w:val="FirstParagraph"/>
        <w:numPr>
          <w:ilvl w:val="0"/>
          <w:numId w:val="1001"/>
        </w:numPr>
      </w:pPr>
      <w:r>
        <w:t xml:space="preserve">Chen T, Guestrin C. XGBoost: a scalable tree boosting system. Proc 22nd ACM SIGKDD Int Conf Knowl Discov Data Min. 2016:785–794. https://doi.org/10.1145/2939672.2939785</w:t>
      </w:r>
    </w:p>
    <w:p>
      <w:pPr>
        <w:pStyle w:val="FirstParagraph"/>
        <w:numPr>
          <w:ilvl w:val="0"/>
          <w:numId w:val="1001"/>
        </w:numPr>
      </w:pPr>
      <w:r>
        <w:t xml:space="preserve">Zhan J, Zhang J, Zhu S, Ni L, Zhang C, Hu J. Diagnostic performance of ultrasound characteristics-based artificial intelligence models for thyroid nodules: a systematic review and meta-analysis. Front Oncol. 2025;15:1614603. https://doi.org/10.3389/fonc.2025.1614603</w:t>
      </w:r>
    </w:p>
    <w:p>
      <w:pPr>
        <w:pStyle w:val="FirstParagraph"/>
        <w:numPr>
          <w:ilvl w:val="0"/>
          <w:numId w:val="1001"/>
        </w:numPr>
      </w:pPr>
      <w:r>
        <w:t xml:space="preserve">Lin C-F, Wang S-D. Fuzzy support vector machines. IEEE Trans Neural Netw. 2002;13(2):464–471. https://doi.org/10.1109/72.991432</w:t>
      </w:r>
    </w:p>
    <w:p>
      <w:pPr>
        <w:pStyle w:val="FirstParagraph"/>
        <w:numPr>
          <w:ilvl w:val="0"/>
          <w:numId w:val="1001"/>
        </w:numPr>
      </w:pPr>
      <w:r>
        <w:t xml:space="preserve">Saini M, Adl Parvar T, Velarde M, Larson NB, Fatemi M, Alizad A. Deep learning-based classification of thyroid nodules using uncertainty-aware multi-modal ultrasound imaging. Sci Rep. 2026;16:4938. https://doi.org/10.1038/s41598-026-35965-w</w:t>
      </w:r>
    </w:p>
    <w:p>
      <w:pPr>
        <w:pStyle w:val="FirstParagraph"/>
        <w:numPr>
          <w:ilvl w:val="0"/>
          <w:numId w:val="1001"/>
        </w:numPr>
      </w:pPr>
      <w:r>
        <w:t xml:space="preserve">Li J, Guo Q, Tan X. Multi-modal feature integration for thyroid nodule prediction: combining clinical data with ultrasound-based deep features. J Radiat Res Appl Sci. 2025;18(1):101217. https://doi.org/10.1016/j.jrras.2024.101217</w:t>
      </w:r>
    </w:p>
    <w:p>
      <w:pPr>
        <w:pStyle w:val="FirstParagraph"/>
        <w:numPr>
          <w:ilvl w:val="0"/>
          <w:numId w:val="1001"/>
        </w:numPr>
      </w:pPr>
      <w:r>
        <w:t xml:space="preserve">Li W, Zhou Y, Luo Z, Tan M, Yin R, Li J. XGBoost-based machine learning model combining clinical and ultrasound data for personalized prediction of thyroid nodule malignancy. Front Endocrinol. 2025;16:1639639. https://doi.org/10.3389/fendo.2025.1639639</w:t>
      </w:r>
    </w:p>
    <w:p>
      <w:pPr>
        <w:pStyle w:val="FirstParagraph"/>
        <w:numPr>
          <w:ilvl w:val="0"/>
          <w:numId w:val="1001"/>
        </w:numPr>
      </w:pPr>
      <w:r>
        <w:t xml:space="preserve">U.S. Food and Drug Administration. Artificial Intelligence/Machine Learning (AI/ML)-Based Software as a Medical Device (SaMD) Action Plan. FDA Center for Devices and Radiological Health; 2021.</w:t>
      </w:r>
    </w:p>
    <w:p>
      <w:pPr>
        <w:pStyle w:val="FirstParagraph"/>
        <w:numPr>
          <w:ilvl w:val="0"/>
          <w:numId w:val="1001"/>
        </w:numPr>
      </w:pPr>
      <w:r>
        <w:t xml:space="preserve">Collins GS, Moons KGM, Dhiman P, et al. TRIPOD+AI statement: updated guidance for reporting clinical prediction models that use regression or machine learning methods. BMJ. 2024;385:e078378. https://doi.org/10.1136/bmj-2023-078378</w:t>
      </w:r>
    </w:p>
    <w:p>
      <w:pPr>
        <w:pStyle w:val="FirstParagraph"/>
        <w:numPr>
          <w:ilvl w:val="0"/>
          <w:numId w:val="1001"/>
        </w:numPr>
      </w:pPr>
      <w:r>
        <w:t xml:space="preserve">Mongan J, Moy L, Kahn CE Jr. Checklist for Artificial Intelligence in Medical Imaging (CLAIM): a guide for authors and reviewers. Radiol Artif Intell. 2020;2(2):e200029. https://doi.org/10.1148/ryai.2020200029</w:t>
      </w:r>
    </w:p>
    <w:p>
      <w:pPr>
        <w:pStyle w:val="FirstParagraph"/>
        <w:numPr>
          <w:ilvl w:val="0"/>
          <w:numId w:val="1001"/>
        </w:numPr>
      </w:pPr>
      <w:r>
        <w:t xml:space="preserve">Immerkær J. Fast noise variance estimation. Comput Vis Image Underst. 1996;64(2):300–302. https://doi.org/10.1006/cviu.1996.0060</w:t>
      </w:r>
    </w:p>
    <w:p>
      <w:pPr>
        <w:pStyle w:val="FirstParagraph"/>
        <w:numPr>
          <w:ilvl w:val="0"/>
          <w:numId w:val="1001"/>
        </w:numPr>
      </w:pPr>
      <w:r>
        <w:t xml:space="preserve">Otsu N. A threshold selection method from gray-level histograms. IEEE Trans Syst Man Cybern. 1979;9(1):62–66. https://doi.org/10.1109/TSMC.1979.4310076</w:t>
      </w:r>
    </w:p>
    <w:p>
      <w:pPr>
        <w:pStyle w:val="FirstParagraph"/>
        <w:numPr>
          <w:ilvl w:val="0"/>
          <w:numId w:val="1001"/>
        </w:numPr>
      </w:pPr>
      <w:r>
        <w:t xml:space="preserve">Platt JC. Probabilistic outputs for support vector machines and comparisons to regularized likelihood methods. In: Smola AJ, Bartlett P, Schölkopf B, Schuurmans D, eds. Advances in Large Margin Classifiers. MIT Press; 2000:61–74.</w:t>
      </w:r>
    </w:p>
    <w:p>
      <w:pPr>
        <w:pStyle w:val="FirstParagraph"/>
        <w:numPr>
          <w:ilvl w:val="0"/>
          <w:numId w:val="1001"/>
        </w:numPr>
      </w:pPr>
      <w:r>
        <w:t xml:space="preserve">Saerens M, Latinne P, Decaestecker C. Adjusting the outputs of a classifier to new a priori probabilities: a simple procedure. Neural Comput. 2002;14(1):21–41. https://doi.org/10.1162/089976602753284446</w:t>
      </w:r>
    </w:p>
    <w:p>
      <w:pPr>
        <w:pStyle w:val="FirstParagraph"/>
        <w:numPr>
          <w:ilvl w:val="0"/>
          <w:numId w:val="1001"/>
        </w:numPr>
      </w:pPr>
      <w:r>
        <w:t xml:space="preserve">Petsiuk V, Das A, Saenko K. RISE: randomized input sampling for explanation of black-box models. Proc Br Mach Vis Conf (BMVC). 2018.</w:t>
      </w:r>
    </w:p>
    <w:p>
      <w:pPr>
        <w:pStyle w:val="FirstParagraph"/>
        <w:numPr>
          <w:ilvl w:val="0"/>
          <w:numId w:val="1001"/>
        </w:numPr>
      </w:pPr>
      <w:r>
        <w:t xml:space="preserve">DeLong ER, DeLong DM, Clarke-Pearson DL. Comparing the areas under two or more correlated receiver operating characteristic curves: a nonparametric approach. Biometrics. 1988;44(3):837–845. https://doi.org/10.2307/2531595</w:t>
      </w:r>
    </w:p>
    <w:p>
      <w:pPr>
        <w:pStyle w:val="FirstParagraph"/>
        <w:numPr>
          <w:ilvl w:val="0"/>
          <w:numId w:val="1001"/>
        </w:numPr>
      </w:pPr>
      <w:r>
        <w:t xml:space="preserve">McNemar Q. Note on the sampling error of the difference between correlated proportions or percentages. Psychometrika. 1947;12(2):153–157. https://doi.org/10.1007/BF02295996</w:t>
      </w:r>
    </w:p>
    <w:p>
      <w:pPr>
        <w:pStyle w:val="FirstParagraph"/>
        <w:numPr>
          <w:ilvl w:val="0"/>
          <w:numId w:val="1001"/>
        </w:numPr>
      </w:pPr>
      <w:r>
        <w:t xml:space="preserve">Holm S. A simple sequentially rejective multiple test procedure. Scand J Stat. 1979;6(2):65–70.</w:t>
      </w:r>
    </w:p>
    <w:p>
      <w:pPr>
        <w:pStyle w:val="FirstParagraph"/>
        <w:numPr>
          <w:ilvl w:val="0"/>
          <w:numId w:val="1001"/>
        </w:numPr>
      </w:pPr>
      <w:r>
        <w:t xml:space="preserve">Riley RD, Ensor J, Snell KIE, et al. Calculating the sample size required for developing a clinical prediction model. BMJ. 2020;368:m441. https://doi.org/10.1136/bmj.m441</w:t>
      </w:r>
    </w:p>
    <w:p>
      <w:pPr>
        <w:pStyle w:val="FirstParagraph"/>
        <w:numPr>
          <w:ilvl w:val="0"/>
          <w:numId w:val="1001"/>
        </w:numPr>
      </w:pPr>
      <w:r>
        <w:t xml:space="preserve">Gong H, Chen G, Wang R, et al. Multi-task learning for thyroid nodule segmentation with thyroid region prior. Proc IEEE Int Symp Biomed Imaging (ISBI). 2021:257–261. https://doi.org/10.1109/ISBI48211.2021.9434087</w:t>
      </w:r>
    </w:p>
    <w:p>
      <w:pPr>
        <w:pStyle w:val="FirstParagraph"/>
        <w:numPr>
          <w:ilvl w:val="0"/>
          <w:numId w:val="1001"/>
        </w:numPr>
      </w:pPr>
      <w:r>
        <w:t xml:space="preserve">Gong H, Chen J, Chen G, Li H, Li G, Chen F. Thyroid region prior guided attention for ultrasound segmentation of thyroid nodules. Comput Biol Med. 2023;155:106389. https://doi.org/10.1016/j.compbiomed.2022.106389</w:t>
      </w:r>
    </w:p>
    <w:p>
      <w:pPr>
        <w:pStyle w:val="FirstParagraph"/>
        <w:numPr>
          <w:ilvl w:val="0"/>
          <w:numId w:val="1001"/>
        </w:numPr>
      </w:pPr>
      <w:r>
        <w:t xml:space="preserve">Gong H, Cheng H, Xie Y, Tan S, Chen G, Chen F, Li G. Less is more: adaptive curriculum learning for thyroid nodule diagnosis. In: MICCAI 2022. Lecture Notes in Computer Science, vol 13433. Springer; 2022:248–257. https://doi.org/10.1007/978-3-031-16437-8_24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Rule="auto" w:line="360" w:before="0" w:after="120"/>
    </w:pPr>
    <w:rPr>
      <w:rFonts w:ascii="Times New Roman" w:hAnsi="Times New Roman" w:cs="Times New Roman" w:eastAsia="Times New Roman"/>
      <w:color w:val="000000"/>
      <w:sz w:val="24"/>
    </w:rPr>
  </w:style>
  <w:style w:type="paragraph" w:styleId="BodyText">
    <w:name w:val="Body Text"/>
    <w:basedOn w:val="Normal"/>
    <w:link w:val="BodyTextChar"/>
    <w:pPr>
      <w:spacing w:before="0" w:after="120" w:lineRule="auto" w:line="360"/>
    </w:pPr>
    <w:qFormat/>
    <w:rPr>
      <w:rFonts w:ascii="Times New Roman" w:hAnsi="Times New Roman" w:cs="Times New Roman" w:eastAsia="Times New Roman"/>
      <w:color w:val="000000"/>
      <w:sz w:val="24"/>
    </w:rPr>
  </w:style>
  <w:style w:type="paragraph" w:customStyle="1" w:styleId="FirstParagraph">
    <w:name w:val="First Paragraph"/>
    <w:basedOn w:val="BodyText"/>
    <w:next w:val="BodyText"/>
    <w:qFormat/>
    <w:pPr>
      <w:spacing w:lineRule="auto" w:line="360" w:before="0" w:after="120"/>
    </w:pPr>
    <w:rPr>
      <w:rFonts w:ascii="Times New Roman" w:hAnsi="Times New Roman" w:cs="Times New Roman" w:eastAsia="Times New Roman"/>
      <w:color w:val="000000"/>
      <w:sz w:val="24"/>
    </w:rPr>
  </w:style>
  <w:style w:type="paragraph" w:customStyle="1" w:styleId="Compact">
    <w:name w:val="Compact"/>
    <w:basedOn w:val="BodyText"/>
    <w:qFormat/>
    <w:pPr>
      <w:spacing w:before="0" w:after="120" w:lineRule="auto" w:line="360"/>
    </w:pPr>
    <w:rPr>
      <w:rFonts w:ascii="Times New Roman" w:hAnsi="Times New Roman" w:cs="Times New Roman" w:eastAsia="Times New Roman"/>
      <w:color w:val="000000"/>
      <w:sz w:val="24"/>
    </w:rPr>
  </w:style>
  <w:style w:type="paragraph" w:styleId="Title">
    <w:name w:val="Title"/>
    <w:basedOn w:val="Normal"/>
    <w:next w:val="BodyText"/>
    <w:qFormat/>
    <w:pPr>
      <w:keepNext/>
      <w:keepLines/>
      <w:spacing w:before="0" w:after="240" w:lineRule="auto" w:line="288"/>
      <w:jc w:val="center"/>
    </w:pPr>
    <w:rPr>
      <w:rFonts w:asciiTheme="majorHAnsi" w:eastAsiaTheme="majorEastAsia" w:hAnsiTheme="majorHAnsi" w:cstheme="majorBidi" w:ascii="Times New Roman" w:hAnsi="Times New Roman" w:cs="Times New Roman" w:eastAsia="Times New Roman"/>
      <w:b/>
      <w:bCs/>
      <w:color w:val="000000"/>
      <w:sz w:val="32"/>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jc w:val="center"/>
      <w:spacing w:before="300" w:after="0"/>
    </w:pPr>
    <w:rPr>
      <w:sz w:val="20"/>
      <w:szCs w:val="20"/>
      <w:b/>
      <w:color w:val="345A8A"/>
      &gt;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120" w:lineRule="auto" w:line="288"/>
      <w:outlineLvl w:val="0"/>
    </w:pPr>
    <w:rPr>
      <w:rFonts w:asciiTheme="majorHAnsi" w:eastAsiaTheme="majorEastAsia" w:hAnsiTheme="majorHAnsi" w:cstheme="majorBidi" w:ascii="Times New Roman" w:hAnsi="Times New Roman" w:cs="Times New Roman" w:eastAsia="Times New Roman"/>
      <w:b/>
      <w:bCs/>
      <w:i w:val="0"/>
      <w:color w:val="000000"/>
      <w:sz w:val="28"/>
      <w:szCs w:val="32"/>
    </w:rPr>
  </w:style>
  <w:style w:type="paragraph" w:styleId="Heading2">
    <w:name w:val="Heading 2"/>
    <w:basedOn w:val="Normal"/>
    <w:next w:val="BodyText"/>
    <w:uiPriority w:val="9"/>
    <w:unhideWhenUsed/>
    <w:qFormat/>
    <w:pPr>
      <w:keepNext/>
      <w:keepLines/>
      <w:spacing w:before="240" w:after="120" w:lineRule="auto" w:line="288"/>
      <w:outlineLvl w:val="1"/>
    </w:pPr>
    <w:rPr>
      <w:rFonts w:asciiTheme="majorHAnsi" w:eastAsiaTheme="majorEastAsia" w:hAnsiTheme="majorHAnsi" w:cstheme="majorBidi" w:ascii="Times New Roman" w:hAnsi="Times New Roman" w:cs="Times New Roman" w:eastAsia="Times New Roman"/>
      <w:b/>
      <w:bCs/>
      <w:i w:val="0"/>
      <w:color w:val="000000"/>
      <w:sz w:val="24"/>
      <w:szCs w:val="28"/>
    </w:rPr>
  </w:style>
  <w:style w:type="paragraph" w:styleId="Heading3">
    <w:name w:val="Heading 3"/>
    <w:basedOn w:val="Normal"/>
    <w:next w:val="BodyText"/>
    <w:uiPriority w:val="9"/>
    <w:unhideWhenUsed/>
    <w:qFormat/>
    <w:pPr>
      <w:keepNext/>
      <w:keepLines/>
      <w:spacing w:before="240" w:after="120" w:lineRule="auto" w:line="288"/>
      <w:outlineLvl w:val="2"/>
    </w:pPr>
    <w:rPr>
      <w:rFonts w:asciiTheme="majorHAnsi" w:eastAsiaTheme="majorEastAsia" w:hAnsiTheme="majorHAnsi" w:cstheme="majorBidi" w:ascii="Times New Roman" w:hAnsi="Times New Roman" w:cs="Times New Roman" w:eastAsia="Times New Roman"/>
      <w:b/>
      <w:bCs/>
      <w:i/>
      <w:color w:val="000000"/>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pPr>
      <w:spacing w:lineRule="auto" w:line="240" w:before="0" w:after="0"/>
    </w:pPr>
    <w:rPr>
      <w:rFonts w:ascii="Times New Roman" w:hAnsi="Times New Roman" w:cs="Times New Roman" w:eastAsia="Times New Roman"/>
      <w:color w:val="000000"/>
      <w:sz w:val="18"/>
    </w:rPr>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80" w:after="200" w:lineRule="auto" w:line="276"/>
    </w:pPr>
    <w:rPr>
      <w:rFonts w:ascii="Times New Roman" w:hAnsi="Times New Roman" w:cs="Times New Roman" w:eastAsia="Times New Roman"/>
      <w:i w:val="0"/>
      <w:color w:val="000000"/>
      <w:sz w:val="20"/>
    </w:rPr>
  </w:style>
  <w:style w:type="paragraph" w:customStyle="1" w:styleId="TableCaption">
    <w:name w:val="Table Caption"/>
    <w:basedOn w:val="Caption"/>
    <w:pPr>
      <w:keepNext/>
      <w:spacing w:lineRule="auto" w:line="276" w:before="80" w:after="200"/>
    </w:pPr>
    <w:rPr>
      <w:rFonts w:ascii="Times New Roman" w:hAnsi="Times New Roman" w:cs="Times New Roman" w:eastAsia="Times New Roman"/>
      <w:i w:val="0"/>
      <w:color w:val="000000"/>
      <w:sz w:val="20"/>
    </w:rPr>
  </w:style>
  <w:style w:type="paragraph" w:customStyle="1" w:styleId="ImageCaption">
    <w:name w:val="Image Caption"/>
    <w:basedOn w:val="Caption"/>
    <w:pPr>
      <w:spacing w:lineRule="auto" w:line="276" w:before="80" w:after="200"/>
    </w:pPr>
    <w:rPr>
      <w:rFonts w:ascii="Times New Roman" w:hAnsi="Times New Roman" w:cs="Times New Roman" w:eastAsia="Times New Roman"/>
      <w:i w:val="0"/>
      <w:color w:val="00000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30" Type="http://schemas.openxmlformats.org/officeDocument/2006/relationships/image" Target="media/rId30.png"/><Relationship Id="rId36" Type="http://schemas.openxmlformats.org/officeDocument/2006/relationships/image" Target="media/rId36.jpg"/><Relationship Id="rId40" Type="http://schemas.openxmlformats.org/officeDocument/2006/relationships/image" Target="media/rId40.png"/><Relationship Id="rId46" Type="http://schemas.openxmlformats.org/officeDocument/2006/relationships/image" Target="media/rId46.png"/><Relationship Id="rId50" Type="http://schemas.openxmlformats.org/officeDocument/2006/relationships/image" Target="media/rId50.png"/><Relationship Id="rId54" Type="http://schemas.openxmlformats.org/officeDocument/2006/relationships/image" Target="media/rId54.png"/><Relationship Id="rId58" Type="http://schemas.openxmlformats.org/officeDocument/2006/relationships/image" Target="media/rId5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TAMES AI: An Adaptive Fuzzy, Multimodal Ensemble Model for Malignancy Risk Assessment of Thyroid Nodules</dc:title>
  <dc:creator/>
  <cp:keywords/>
  <dcterms:created xsi:type="dcterms:W3CDTF">2026-10-15T12:11:39Z</dcterms:created>
  <dcterms:modified xsi:type="dcterms:W3CDTF">2026-10-15T12:11:39Z</dcterms:modified>
</cp:coreProperties>
</file>

<file path=docProps/custom.xml><?xml version="1.0" encoding="utf-8"?>
<Properties xmlns="http://schemas.openxmlformats.org/officeDocument/2006/custom-properties" xmlns:vt="http://schemas.openxmlformats.org/officeDocument/2006/docPropsVTypes"/>
</file>