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TAMES AI: An Adaptive Fuzzy, Multimodal Ensemble Model for Malignancy Risk Assessment of Thyroid Nodules — Supplementary Tables S1–S3. Section numbers refer to the main text.</w:t>
      </w:r>
    </w:p>
    <w:p>
      <w:pPr>
        <w:pStyle w:val="Heading1"/>
      </w:pPr>
      <w:bookmarkStart w:id="9" w:name="_89c16cfe66b69ad542f4d70d1e97f70d53d7d76"/>
      <w:r>
        <w:t xml:space="preserve">S1. Reporting checklists</w:t>
      </w:r>
      <w:bookmarkEnd w:id="9"/>
    </w:p>
    <w:p>
      <w:pPr>
        <w:pStyle w:val="FirstParagraph"/>
      </w:pPr>
      <w:r>
        <w:rPr>
          <w:b/>
          <w:bCs/>
        </w:rPr>
        <w:t xml:space="preserve">Table S1a.</w:t>
      </w:r>
      <w:r>
        <w:t xml:space="preserve"> </w:t>
      </w:r>
      <w:r>
        <w:t xml:space="preserve">TRIPOD+AI items (Collins et al., 2024) and where each is addressed.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Where addressed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Title identifies a prediction-model study, the target population and the outcome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Title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Structured abstract: objectives, data, methods, results, conclusions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Abstract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Background, rationale and existing models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1, 2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Objectives: development and evaluation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1 (last paragraph), 3.1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Source of data, dates, setting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3.2, Table 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Eligibility of participants / images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3.1, 3.2 (every image of the official release, none excluded)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Data preparation and pre-processing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3.4–3.6, 3.13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Outcome definition and how it was assessed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3.1 (dataset label; cytological basis not documented, 6)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Predictors: definition, measurement, pre-processing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3.2 and Table 2, 3.6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Sample size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3.12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Missing data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3.6 (quality coefficients Q_m); none on TN3K (5.1)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Analytical methods: model type, predictor handling, hyperparameter tuning, internal validation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3.4–3.10, 3.13, Table S2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Class imbalance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3.13 (class-balanced loss), 3.10 (sensitivity-fixed threshold)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Fairness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not assessable: TN3K carries no demographic variables (6)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Model output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3.10 (probability and label), 4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Separation of training and evaluation data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3.2, Figure 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Ethical approval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Declarations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Funding and competing interests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Declarations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Protocol and registration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3.12 (analysis plan fixed before test scoring and released with the code); not registered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Data and code sharing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Declarations, 3.13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Patient and public involvement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none (public dataset)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Flow and characteristics of the data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5.1, Table 1, Figure 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Model development and full specification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3.4–3.10, 5.2, 5.3 (ensemble weights), Table S2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Model performance with uncertainty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5.3–5.9, Tables 3–7, Figures 4–8, Table S3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Model updating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3.9 (prior shift, not applied here)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Interpretation, limitations, usability, next steps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6, 7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Table S1b.</w:t>
      </w:r>
      <w:r>
        <w:t xml:space="preserve"> </w:t>
      </w:r>
      <w:r>
        <w:t xml:space="preserve">CLAIM items (Mongan et al., 2020) and where each is addressed.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Item group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Where addressed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Study design: intended use, objectives, retrospective design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1, 3.1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Data: source, eligibility, pre-processing, de-identification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3.2, 3.4–3.6, Declarations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Data partitions: level of split (image), assignment, sizes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3.2, Table 1, Figure 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Reference standard: definition, source, rationale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Model: architecture, inputs, outputs, software, initialization, hyperparameters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3.4–3.10, 3.13, Table S2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Training: augmentation, loss, optimizer, early stopping, final-model selection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3.13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Evaluation: metrics, uncertainty, robustness, explainability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3.11, 3.12, 5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Flow diagram of the data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Figure 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Test-set performance with comparators and confidence intervals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Tables 3–7, Figures 4–7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Failure analysis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5.9 (Grad-CAM cases, size subgroup), Figure 8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Limitations and implications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6, 7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Registration, protocol, data and code availability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3.12, Declarations</w:t>
            </w:r>
          </w:p>
        </w:tc>
      </w:tr>
    </w:tbl>
    <w:p>
      <w:pPr>
        <w:pStyle w:val="Heading1"/>
      </w:pPr>
      <w:bookmarkStart w:id="10" w:name="_115cafce3db3d55670118f8cfd7ada9743c52d2"/>
      <w:r>
        <w:t xml:space="preserve">S2. Hyperparameter grids and selected values</w:t>
      </w:r>
      <w:bookmarkEnd w:id="10"/>
    </w:p>
    <w:p>
      <w:pPr>
        <w:pStyle w:val="FirstParagraph"/>
      </w:pPr>
      <w:r>
        <w:rPr>
          <w:b/>
          <w:bCs/>
        </w:rPr>
        <w:t xml:space="preserve">Table S2.</w:t>
      </w:r>
      <w:r>
        <w:t xml:space="preserve"> </w:t>
      </w:r>
      <w:r>
        <w:t xml:space="preserve">Every value was selected on the validation partition; the test partition played no part. Grids are those of configs/default.yaml in the released code.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Component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Hyperparameter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Grid or fixed value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Selection criterion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Selected (seeds 0 / 1 / 2 / 3 / 4; one value when identical)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Fuzzy layer (Eqs. 1–8)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α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{0, 0.25, 0.5, 1, 2}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Dice of Otsu(F) against the dataset masks on 150 validation images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β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{0, 0.25, 0.5, 1, 2}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same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0.5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γ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{0.5, 1, 2}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same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λ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{0, 0.1, …, 1.0}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same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k, r₀, r_min, r_max, ε, L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7, 2, 1, 5, 10⁻⁶, 256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fixed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Backbone f_θ and DL head g_φ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architecture, initialization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ResNet-18, ImageNet-1k; d_h = 128; dropout 0.3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fixed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optimizer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AdamW, lr 3×10⁻⁴, weight decay 10⁻⁴, batch 32, cosine schedule, ≤ 30 epochs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fixed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stopping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early stopping on validation AUC, patience 6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validation AUC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epoch of best validation AUC per seed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n_estimators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500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fixed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max_features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{sqrt, 0.3}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validation AUC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0.3 / 0.3 / 0.3 / 0.3 / sqrt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min_samples_leaf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{1, 3, 5}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validation AUC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1 / 5 / 3 / 3 / 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n_estimators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≤ 600 with early stopping (30 rounds) on validation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validation log-loss (early stopping)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best iteration 51 / 17 / 55 / 62 / 32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max_depth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{3, 4, 6}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validation AUC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6 / 3 / 6 / 4 / 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learning_rate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{0.03, 0.1}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validation AUC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0.03 / 0.1 / 0.03 / 0.03 / 0.03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subsample / colsample_bytree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0.8 / {0.6, 0.8}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validation AUC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0.8 (all seeds) / 0.6, 0.8, 0.8, 0.8, 0.8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Fuzzy SVM (Eqs. 12–13)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{0.3, 1, 3, 10}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validation AUC of the decision value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10 / 10 / 10 / 10 / 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γ (RBF)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{scale, 0.01, 0.1}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same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scale / 0.01 / 0.01 / scale / 0.1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membership δ; calibration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10⁻³; Platt scaling fitted on validation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fixed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Ensemble (Eq. 14)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τ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{0.05, 0.1, 0.2, 0.5, 1.0}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validation log-loss of p_ens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0.05 (all seeds)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Decision rule (Eq. 16)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t*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smallest threshold with validation sensitivity ≥ 0.95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validation sensitivity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0.134</w:t>
            </w:r>
          </w:p>
        </w:tc>
      </w:tr>
    </w:tbl>
    <w:p>
      <w:pPr>
        <w:pStyle w:val="Heading1"/>
      </w:pPr>
      <w:bookmarkStart w:id="11" w:name="_870f34992ac146ed69b3cc7f88753307898ee08"/>
      <w:r>
        <w:t xml:space="preserve">S3. Seed-level results</w:t>
      </w:r>
      <w:bookmarkEnd w:id="11"/>
    </w:p>
    <w:p>
      <w:pPr>
        <w:pStyle w:val="FirstParagraph"/>
      </w:pPr>
      <w:r>
        <w:rPr>
          <w:b/>
          <w:bCs/>
        </w:rPr>
        <w:t xml:space="preserve">Table S3.</w:t>
      </w:r>
      <w:r>
        <w:t xml:space="preserve"> </w:t>
      </w:r>
      <w:r>
        <w:t xml:space="preserve">Test AUC of every model by seed (expert delineation and fully automatic settings), with mean and population standard deviation across seeds. The values in Tables 3 and 5 of the main text are computed on the probabilities averaged over the five seeds, which acts as a small ensemble and is applied identically to every model; they are therefore higher than the per-seed means shown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74"/>
        <w:gridCol w:w="926"/>
        <w:gridCol w:w="674"/>
        <w:gridCol w:w="674"/>
        <w:gridCol w:w="674"/>
        <w:gridCol w:w="674"/>
        <w:gridCol w:w="674"/>
        <w:gridCol w:w="674"/>
        <w:gridCol w:w="674"/>
      </w:tblGrid>
      <w:tr>
        <w:trPr>
          <w:tblHeader w:val="on"/>
        </w:trP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Setting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Seed 0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Seed 1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Seed 2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Seed 3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Seed 4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Mean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TAMES AI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expert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0.775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0.765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0.791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0.798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0.740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0.774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0.020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Image-only CNN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expert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0.808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0.817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0.823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0.775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0.799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0.804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0.017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CNN + XGBoost late fusion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expert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0.782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0.800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0.779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0.773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0.795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0.786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0.010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Descriptor-only XGBoost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expert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0.678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0.687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0.680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0.685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0.683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0.682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0.003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TAMES AI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automatic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0.763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0.775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0.753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0.771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0.802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0.773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0.016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Image-only CNN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automatic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0.766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0.783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0.767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0.798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0.767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0.776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CNN + XGBoost late fusion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automatic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0.737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0.762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0.752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0.758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0.743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0.750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0.009</w:t>
            </w:r>
          </w:p>
        </w:tc>
      </w:tr>
      <w:tr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Descriptor-only XGBoost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automatic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0.577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0.587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0.588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0.575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0.583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0.582</w:t>
            </w:r>
          </w:p>
        </w:tc>
        <w:tc>
          <w:tcPr/>
          <w:p>
            <w:pPr>
              <w:pStyle w:val="Compact"/>
              <w:spacing w:after="20" w:before="20" w:line="240" w:lineRule="auto"/>
            </w:pPr>
            <w:r>
              <w:rPr>
                <w:sz w:val="18"/>
              </w:rPr>
              <w:t xml:space="preserve">0.005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Rule="auto" w:line="360" w:before="0" w:after="120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pPr>
      <w:spacing w:before="0" w:after="120" w:lineRule="auto" w:line="360"/>
    </w:pPr>
    <w:qFormat/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Rule="auto" w:line="360" w:before="0" w:after="120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120" w:lineRule="auto" w:line="360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0" w:after="240" w:lineRule="auto" w:line="288"/>
      <w:jc w:val="center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40" w:after="120" w:lineRule="auto" w:line="288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120" w:lineRule="auto" w:line="288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40" w:after="120" w:lineRule="auto" w:line="288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pPr>
      <w:spacing w:lineRule="auto" w:line="240" w:before="0" w:after="0"/>
    </w:pPr>
    <w:rPr>
      <w:rFonts w:ascii="Times New Roman" w:hAnsi="Times New Roman" w:cs="Times New Roman" w:eastAsia="Times New Roman"/>
      <w:color w:val="000000"/>
      <w:sz w:val="18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80" w:after="200" w:lineRule="auto" w:line="276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  <w:spacing w:lineRule="auto" w:line="276" w:before="80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ImageCaption">
    <w:name w:val="Image Caption"/>
    <w:basedOn w:val="Caption"/>
    <w:pPr>
      <w:spacing w:lineRule="auto" w:line="276" w:before="80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2026-10-15T12:11:39Z</dcterms:created>
  <dcterms:modified xsi:type="dcterms:W3CDTF">2026-10-15T12:11:39Z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