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TAMES AI: An Adaptive Fuzzy, Multimodal Ensemble Model for Malignancy Risk Assessment of Thyroid Nodules — Supplementary Tables S1–S3. Section numbers refer to the main text.</w:t>
      </w:r>
    </w:p>
    <w:bookmarkStart w:id="20" w:name="s1.-reporting-checklists"/>
    <w:p>
      <w:pPr>
        <w:pStyle w:val="Heading1"/>
      </w:pPr>
      <w:r>
        <w:t xml:space="preserve">S1. Reporting checklists</w:t>
      </w:r>
    </w:p>
    <w:p>
      <w:pPr>
        <w:pStyle w:val="FirstParagraph"/>
      </w:pPr>
      <w:r>
        <w:rPr>
          <w:bCs/>
          <w:b/>
        </w:rPr>
        <w:t xml:space="preserve">Table S1a.</w:t>
      </w:r>
      <w:r>
        <w:t xml:space="preserve"> </w:t>
      </w:r>
      <w:r>
        <w:t xml:space="preserve">TRIPOD+AI items (Collins et al., 2024) and where each is addressed.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Where addressed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Title identifies a prediction-model study, the target population and the outcome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Structured abstract: objectives, data, methods, results, conclusions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Abstract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Background, rationale and existing models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1, 2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Objectives: development and evaluation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1 (last paragraph), 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Source of data, dates, setting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3.2, Table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Eligibility of participants / images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3.1, 3.2 (every image of the official release, none excluded)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Data preparation and pre-processing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3.4–3.6, 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Outcome definition and how it was assessed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 (dataset label; cytological basis not documented, 6)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Predictors: definition, measurement, pre-processing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3.2 and Table 2, 3.6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Sample size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Missing data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3.6 (quality coefficients Q_m); none on TN3K (5.1)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Analytical methods: model type, predictor handling, hyperparameter tuning, internal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3.4–3.10, 3.13,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Class imbalance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3.13 (class-balanced loss), 3.10 (sensitivity-fixed threshold)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Fairness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not assessable: TN3K carries no demographic variables (6)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 output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3.10 (probability and label), 4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Separation of training and evaluation data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3.2,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Ethical approval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Funding and competing interests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Protocol and registration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3.12 (analysis plan fixed before test scoring and released with the code); not registered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Data and code sharing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Declarations, 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Patient and public involvement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none (public dataset)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Flow and characteristics of the data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5.1, Table 1,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 development and full specification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3.4–3.10, 5.2, 5.3 (ensemble weights),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 performance with uncertainty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5.3–5.9, Tables 3–7, Figures 4–8, Table S3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 updating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3.9 (prior shift, not applied here)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Interpretation, limitations, usability, next steps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6, 7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S1b.</w:t>
      </w:r>
      <w:r>
        <w:t xml:space="preserve"> </w:t>
      </w:r>
      <w:r>
        <w:t xml:space="preserve">CLAIM items (Mongan et al., 2020) and where each is addressed.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Item group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Where addressed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Study design: intended use, objectives, retrospective design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1, 3.1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Data: source, eligibility, pre-processing, de-identification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3.2, 3.4–3.6, 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Data partitions: level of split (image), assignment, sizes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3.2, Table 1,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Reference standard: definition, source, rationale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Model: architecture, inputs, outputs, software, initialization, hyperparameters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3.4–3.10, 3.13,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Training: augmentation, loss, optimizer, early stopping, final-model selection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Evaluation: metrics, uncertainty, robustness, explainability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3.11, 3.12, 5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Flow diagram of the data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Test-set performance with comparators and confidence intervals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Tables 3–7, Figures 4–7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Failure analysis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5.9 (Grad-CAM cases, size subgroup), Figure 8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Limitations and implications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6, 7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Registration, protocol, data and code availability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3.12, Declarations</w:t>
            </w:r>
          </w:p>
        </w:tc>
      </w:tr>
    </w:tbl>
    <w:bookmarkEnd w:id="20"/>
    <w:bookmarkStart w:id="21" w:name="X115cafce3db3d55670118f8cfd7ada9743c52d2"/>
    <w:p>
      <w:pPr>
        <w:pStyle w:val="Heading1"/>
      </w:pPr>
      <w:r>
        <w:t xml:space="preserve">S2. Hyperparameter grids and selected values</w:t>
      </w:r>
    </w:p>
    <w:p>
      <w:pPr>
        <w:pStyle w:val="FirstParagraph"/>
      </w:pPr>
      <w:r>
        <w:rPr>
          <w:bCs/>
          <w:b/>
        </w:rPr>
        <w:t xml:space="preserve">Table S2.</w:t>
      </w:r>
      <w:r>
        <w:t xml:space="preserve"> </w:t>
      </w:r>
      <w:r>
        <w:t xml:space="preserve">Every value was selected on the validation partition; the test partition played no part. Grids are those of configs/default.yaml in the released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Component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Hyperparameter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Grid or fixed value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Selection criterion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Selected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Fuzzy layer (Eqs. 1–8)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α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{0, 0.25, 0.5, 1, 2}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Dice of Otsu(F) against the dataset masks on 150 validation images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β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{0, 0.25, 0.5, 1, 2}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γ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{0.5, 1, 2}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λ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{0, 0.1, …, 1.0}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k, r₀, r_min, r_max, ε, L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7, 2, 1, 5, 10⁻⁶, 256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Backbone f_θ and DL head g_φ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architecture, initialization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ResNet-18, ImageNet-1k; d_h = 128; dropout 0.3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optimizer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AdamW, lr 3×10⁻⁴, weight decay 10⁻⁴, batch 32, cosine schedule, ≤ 30 epochs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stopping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early stopping on validation AUC, patience 6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epoch of best validation AUC per seed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n_estimators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max_features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{sqrt, 0.3}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min_samples_leaf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{1, 3, 5}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n_estimators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≤ 600 with early stopping (30 rounds) on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log-loss (early stopping)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best iteration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max_depth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{3, 4, 6}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learning_rate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{0.03, 0.1}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subsample / colsample_bytree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0.8 / {0.6, 0.8}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Fuzzy SVM (Eqs. 12–13)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{0.3, 1, 3, 10}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AUC of the decision value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γ (RBF)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{scale, 0.01, 0.1}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[[runs: per seed]]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membership δ; calibration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10⁻³; Platt scaling fitted on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Ensemble (Eq. 14)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τ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{0.05, 0.1, 0.2, 0.5, 1.0}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log-loss of p_ens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0.05 (all seeds)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Decision rule (Eq. 16)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t*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smallest threshold with validation sensitivity ≥ 0.95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validation sensitivity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0.134</w:t>
            </w:r>
          </w:p>
        </w:tc>
      </w:tr>
    </w:tbl>
    <w:bookmarkEnd w:id="21"/>
    <w:bookmarkStart w:id="22" w:name="s3.-seed-level-results"/>
    <w:p>
      <w:pPr>
        <w:pStyle w:val="Heading1"/>
      </w:pPr>
      <w:r>
        <w:t xml:space="preserve">S3. Seed-level results</w:t>
      </w:r>
    </w:p>
    <w:p>
      <w:pPr>
        <w:pStyle w:val="FirstParagraph"/>
      </w:pPr>
      <w:r>
        <w:rPr>
          <w:bCs/>
          <w:b/>
        </w:rPr>
        <w:t xml:space="preserve">Table S3.</w:t>
      </w:r>
      <w:r>
        <w:t xml:space="preserve"> </w:t>
      </w:r>
      <w:r>
        <w:t xml:space="preserve">Test AUC of every model by seed (expert delineation and fully automatic settings), with mean and standard deviation across seeds; the pooled values of Tables 3 and 5 are computed on the concatenated predictions of the five seeds.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72"/>
        <w:gridCol w:w="640"/>
        <w:gridCol w:w="815"/>
        <w:gridCol w:w="815"/>
        <w:gridCol w:w="815"/>
        <w:gridCol w:w="815"/>
        <w:gridCol w:w="815"/>
        <w:gridCol w:w="815"/>
        <w:gridCol w:w="815"/>
      </w:tblGrid>
      <w:tr>
        <w:trPr>
          <w:tblHeader w:val="true"/>
        </w:trP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Setting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Seed 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Seed 1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Seed 2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Seed 3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Seed 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Mean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TAMES AI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0.020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Image-only CNN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0.017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CNN + XGBoost late fusion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Descriptor-only XGBoost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TAMES AI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Image-only CNN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CNN + XGBoost late fusion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Descriptor-only XGBoost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18"/>
              </w:rPr>
              <w:t xml:space="preserve">[[runs]]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288" w:lineRule="auto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288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88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88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8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200" w:before="8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200" w:before="8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2026-10-15T10:59:15Z</dcterms:created>
  <dcterms:modified xsi:type="dcterms:W3CDTF">2026-10-15T10:59:15Z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