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368B5">
      <w:pPr>
        <w:jc w:val="center"/>
        <w:rPr>
          <w:rFonts w:hint="eastAsia"/>
          <w:sz w:val="44"/>
          <w:szCs w:val="44"/>
        </w:rPr>
      </w:pPr>
      <w:r>
        <w:rPr>
          <w:rFonts w:hint="eastAsia"/>
          <w:sz w:val="44"/>
          <w:szCs w:val="44"/>
        </w:rPr>
        <w:t>深圳技术大学考试答题纸</w:t>
      </w:r>
    </w:p>
    <w:p w14:paraId="1C791135">
      <w:pPr>
        <w:jc w:val="center"/>
        <w:rPr>
          <w:sz w:val="10"/>
          <w:szCs w:val="10"/>
        </w:rPr>
      </w:pPr>
      <w:r>
        <w:rPr>
          <w:rFonts w:hint="eastAsia"/>
          <w:sz w:val="24"/>
        </w:rPr>
        <w:t>(以论文、报告等形式考核专用)</w:t>
      </w:r>
      <w:r>
        <w:rPr>
          <w:sz w:val="24"/>
        </w:rPr>
        <w:br w:type="textWrapping"/>
      </w:r>
      <w:r>
        <w:rPr>
          <w:rFonts w:hint="eastAsia"/>
          <w:sz w:val="24"/>
        </w:rPr>
        <w:t>二○</w:t>
      </w:r>
      <w:r>
        <w:rPr>
          <w:rFonts w:hint="eastAsia"/>
          <w:sz w:val="24"/>
          <w:u w:val="single"/>
        </w:rPr>
        <w:t xml:space="preserve"> 二五     </w:t>
      </w:r>
      <w:r>
        <w:rPr>
          <w:rFonts w:hint="eastAsia"/>
          <w:sz w:val="24"/>
        </w:rPr>
        <w:t>～二○</w:t>
      </w:r>
      <w:r>
        <w:rPr>
          <w:rFonts w:hint="eastAsia"/>
          <w:sz w:val="24"/>
          <w:u w:val="single"/>
        </w:rPr>
        <w:t xml:space="preserve">  二六     </w:t>
      </w:r>
      <w:r>
        <w:rPr>
          <w:rFonts w:hint="eastAsia"/>
          <w:sz w:val="24"/>
        </w:rPr>
        <w:t xml:space="preserve">  学年度第</w:t>
      </w:r>
      <w:r>
        <w:rPr>
          <w:rFonts w:hint="eastAsia"/>
          <w:sz w:val="24"/>
          <w:u w:val="single"/>
        </w:rPr>
        <w:t xml:space="preserve"> </w:t>
      </w:r>
      <w:r>
        <w:rPr>
          <w:sz w:val="24"/>
          <w:u w:val="single"/>
        </w:rPr>
        <w:t xml:space="preserve"> </w:t>
      </w:r>
      <w:r>
        <w:rPr>
          <w:rFonts w:hint="eastAsia"/>
          <w:sz w:val="24"/>
          <w:u w:val="single"/>
        </w:rPr>
        <w:t xml:space="preserve">一   </w:t>
      </w:r>
      <w:r>
        <w:rPr>
          <w:rFonts w:hint="eastAsia"/>
          <w:sz w:val="24"/>
        </w:rPr>
        <w:t>学期</w:t>
      </w:r>
    </w:p>
    <w:tbl>
      <w:tblPr>
        <w:tblStyle w:val="4"/>
        <w:tblW w:w="9362" w:type="dxa"/>
        <w:jc w:val="center"/>
        <w:tblLayout w:type="fixed"/>
        <w:tblCellMar>
          <w:top w:w="0" w:type="dxa"/>
          <w:left w:w="108" w:type="dxa"/>
          <w:bottom w:w="0" w:type="dxa"/>
          <w:right w:w="108" w:type="dxa"/>
        </w:tblCellMar>
      </w:tblPr>
      <w:tblGrid>
        <w:gridCol w:w="1076"/>
        <w:gridCol w:w="79"/>
        <w:gridCol w:w="1080"/>
        <w:gridCol w:w="1021"/>
        <w:gridCol w:w="79"/>
        <w:gridCol w:w="1021"/>
        <w:gridCol w:w="1177"/>
        <w:gridCol w:w="363"/>
        <w:gridCol w:w="1080"/>
        <w:gridCol w:w="1090"/>
        <w:gridCol w:w="720"/>
        <w:gridCol w:w="576"/>
      </w:tblGrid>
      <w:tr w14:paraId="58FC3CBA">
        <w:tblPrEx>
          <w:tblCellMar>
            <w:top w:w="0" w:type="dxa"/>
            <w:left w:w="108" w:type="dxa"/>
            <w:bottom w:w="0" w:type="dxa"/>
            <w:right w:w="108" w:type="dxa"/>
          </w:tblCellMar>
        </w:tblPrEx>
        <w:trPr>
          <w:trHeight w:val="397" w:hRule="atLeast"/>
          <w:jc w:val="center"/>
        </w:trPr>
        <w:tc>
          <w:tcPr>
            <w:tcW w:w="1076" w:type="dxa"/>
            <w:noWrap w:val="0"/>
            <w:vAlign w:val="center"/>
          </w:tcPr>
          <w:p w14:paraId="11B71076">
            <w:pPr>
              <w:rPr>
                <w:rFonts w:hint="eastAsia" w:eastAsia="楷体_GB2312"/>
                <w:szCs w:val="21"/>
              </w:rPr>
            </w:pPr>
            <w:r>
              <w:rPr>
                <w:rFonts w:hint="eastAsia" w:eastAsia="楷体_GB2312"/>
                <w:szCs w:val="21"/>
              </w:rPr>
              <w:t>课程编号</w:t>
            </w:r>
          </w:p>
        </w:tc>
        <w:tc>
          <w:tcPr>
            <w:tcW w:w="1159" w:type="dxa"/>
            <w:gridSpan w:val="2"/>
            <w:tcBorders>
              <w:bottom w:val="single" w:color="auto" w:sz="4" w:space="0"/>
            </w:tcBorders>
            <w:noWrap w:val="0"/>
            <w:vAlign w:val="center"/>
          </w:tcPr>
          <w:p w14:paraId="1A7E8BD9">
            <w:pPr>
              <w:rPr>
                <w:rFonts w:hint="eastAsia" w:eastAsia="楷体_GB2312"/>
                <w:szCs w:val="21"/>
              </w:rPr>
            </w:pPr>
            <w:r>
              <w:rPr>
                <w:rFonts w:hint="eastAsia" w:eastAsia="楷体_GB2312"/>
                <w:szCs w:val="21"/>
              </w:rPr>
              <w:t>MA</w:t>
            </w:r>
            <w:r>
              <w:rPr>
                <w:rFonts w:eastAsia="楷体_GB2312"/>
                <w:szCs w:val="21"/>
              </w:rPr>
              <w:t>0000</w:t>
            </w:r>
            <w:r>
              <w:rPr>
                <w:rFonts w:hint="eastAsia" w:eastAsia="楷体_GB2312"/>
                <w:szCs w:val="21"/>
              </w:rPr>
              <w:t>3</w:t>
            </w:r>
          </w:p>
        </w:tc>
        <w:tc>
          <w:tcPr>
            <w:tcW w:w="1100" w:type="dxa"/>
            <w:gridSpan w:val="2"/>
            <w:noWrap w:val="0"/>
            <w:vAlign w:val="center"/>
          </w:tcPr>
          <w:p w14:paraId="2CF14C10">
            <w:pPr>
              <w:rPr>
                <w:rFonts w:hint="eastAsia" w:eastAsia="楷体_GB2312"/>
                <w:szCs w:val="21"/>
              </w:rPr>
            </w:pPr>
            <w:r>
              <w:rPr>
                <w:rFonts w:hint="eastAsia" w:eastAsia="楷体_GB2312"/>
                <w:szCs w:val="21"/>
              </w:rPr>
              <w:t>课程名称</w:t>
            </w:r>
          </w:p>
        </w:tc>
        <w:tc>
          <w:tcPr>
            <w:tcW w:w="2198" w:type="dxa"/>
            <w:gridSpan w:val="2"/>
            <w:tcBorders>
              <w:bottom w:val="single" w:color="auto" w:sz="4" w:space="0"/>
            </w:tcBorders>
            <w:noWrap w:val="0"/>
            <w:vAlign w:val="center"/>
          </w:tcPr>
          <w:p w14:paraId="754557B2">
            <w:pPr>
              <w:ind w:firstLine="210" w:firstLineChars="100"/>
              <w:rPr>
                <w:rFonts w:hint="eastAsia" w:eastAsia="楷体_GB2312"/>
                <w:szCs w:val="21"/>
              </w:rPr>
            </w:pPr>
            <w:r>
              <w:rPr>
                <w:rFonts w:hint="eastAsia" w:eastAsia="楷体_GB2312"/>
                <w:szCs w:val="21"/>
              </w:rPr>
              <w:t>形势与政策1</w:t>
            </w:r>
          </w:p>
        </w:tc>
        <w:tc>
          <w:tcPr>
            <w:tcW w:w="1443" w:type="dxa"/>
            <w:gridSpan w:val="2"/>
            <w:noWrap w:val="0"/>
            <w:vAlign w:val="center"/>
          </w:tcPr>
          <w:p w14:paraId="7C263361">
            <w:pPr>
              <w:rPr>
                <w:rFonts w:hint="eastAsia" w:eastAsia="楷体_GB2312"/>
                <w:szCs w:val="21"/>
              </w:rPr>
            </w:pPr>
            <w:r>
              <w:rPr>
                <w:rFonts w:hint="eastAsia" w:eastAsia="楷体_GB2312"/>
                <w:szCs w:val="21"/>
              </w:rPr>
              <w:t xml:space="preserve">主讲教师 </w:t>
            </w:r>
          </w:p>
        </w:tc>
        <w:tc>
          <w:tcPr>
            <w:tcW w:w="1090" w:type="dxa"/>
            <w:tcBorders>
              <w:left w:val="nil"/>
              <w:bottom w:val="single" w:color="auto" w:sz="4" w:space="0"/>
            </w:tcBorders>
            <w:noWrap w:val="0"/>
            <w:vAlign w:val="center"/>
          </w:tcPr>
          <w:p w14:paraId="3E23B4DB">
            <w:pPr>
              <w:spacing w:line="240" w:lineRule="exact"/>
              <w:rPr>
                <w:rFonts w:hint="eastAsia" w:eastAsia="楷体_GB2312"/>
                <w:szCs w:val="21"/>
              </w:rPr>
            </w:pPr>
            <w:r>
              <w:rPr>
                <w:rFonts w:hint="eastAsia" w:eastAsia="楷体_GB2312"/>
                <w:szCs w:val="21"/>
              </w:rPr>
              <w:t>“形势与政策”教研室全体教师</w:t>
            </w:r>
          </w:p>
        </w:tc>
        <w:tc>
          <w:tcPr>
            <w:tcW w:w="720" w:type="dxa"/>
            <w:noWrap w:val="0"/>
            <w:vAlign w:val="center"/>
          </w:tcPr>
          <w:p w14:paraId="0E799B48">
            <w:pPr>
              <w:rPr>
                <w:rFonts w:hint="eastAsia" w:eastAsia="楷体_GB2312"/>
                <w:szCs w:val="21"/>
              </w:rPr>
            </w:pPr>
            <w:r>
              <w:rPr>
                <w:rFonts w:hint="eastAsia" w:eastAsia="楷体_GB2312"/>
                <w:szCs w:val="21"/>
              </w:rPr>
              <w:t>评分</w:t>
            </w:r>
          </w:p>
        </w:tc>
        <w:tc>
          <w:tcPr>
            <w:tcW w:w="576" w:type="dxa"/>
            <w:tcBorders>
              <w:bottom w:val="single" w:color="auto" w:sz="4" w:space="0"/>
            </w:tcBorders>
            <w:noWrap w:val="0"/>
            <w:vAlign w:val="center"/>
          </w:tcPr>
          <w:p w14:paraId="6E90BE04">
            <w:pPr>
              <w:rPr>
                <w:rFonts w:hint="eastAsia" w:eastAsia="楷体_GB2312"/>
                <w:sz w:val="24"/>
              </w:rPr>
            </w:pPr>
          </w:p>
        </w:tc>
      </w:tr>
      <w:tr w14:paraId="1CAA1081">
        <w:tblPrEx>
          <w:tblCellMar>
            <w:top w:w="0" w:type="dxa"/>
            <w:left w:w="108" w:type="dxa"/>
            <w:bottom w:w="0" w:type="dxa"/>
            <w:right w:w="108" w:type="dxa"/>
          </w:tblCellMar>
        </w:tblPrEx>
        <w:trPr>
          <w:trHeight w:val="397" w:hRule="atLeast"/>
          <w:jc w:val="center"/>
        </w:trPr>
        <w:tc>
          <w:tcPr>
            <w:tcW w:w="1076" w:type="dxa"/>
            <w:noWrap w:val="0"/>
            <w:vAlign w:val="bottom"/>
          </w:tcPr>
          <w:p w14:paraId="2CF4A85F">
            <w:pPr>
              <w:rPr>
                <w:rFonts w:hint="eastAsia" w:eastAsia="楷体_GB2312"/>
                <w:szCs w:val="21"/>
              </w:rPr>
            </w:pPr>
            <w:r>
              <w:rPr>
                <w:rFonts w:hint="eastAsia" w:eastAsia="楷体_GB2312"/>
                <w:szCs w:val="21"/>
              </w:rPr>
              <w:t>学    号</w:t>
            </w:r>
          </w:p>
        </w:tc>
        <w:tc>
          <w:tcPr>
            <w:tcW w:w="1159" w:type="dxa"/>
            <w:gridSpan w:val="2"/>
            <w:tcBorders>
              <w:top w:val="single" w:color="auto" w:sz="4" w:space="0"/>
              <w:bottom w:val="single" w:color="auto" w:sz="4" w:space="0"/>
            </w:tcBorders>
            <w:noWrap w:val="0"/>
            <w:vAlign w:val="bottom"/>
          </w:tcPr>
          <w:p w14:paraId="203B23DC">
            <w:pPr>
              <w:rPr>
                <w:rFonts w:hint="default" w:eastAsia="楷体_GB2312"/>
                <w:szCs w:val="21"/>
                <w:lang w:val="en-US" w:eastAsia="zh-CN"/>
              </w:rPr>
            </w:pPr>
            <w:r>
              <w:rPr>
                <w:rFonts w:hint="eastAsia" w:eastAsia="楷体_GB2312"/>
                <w:szCs w:val="21"/>
                <w:lang w:val="en-US" w:eastAsia="zh-CN"/>
              </w:rPr>
              <w:t>202500401033</w:t>
            </w:r>
          </w:p>
        </w:tc>
        <w:tc>
          <w:tcPr>
            <w:tcW w:w="1021" w:type="dxa"/>
            <w:noWrap w:val="0"/>
            <w:vAlign w:val="bottom"/>
          </w:tcPr>
          <w:p w14:paraId="7A2BCD04">
            <w:pPr>
              <w:jc w:val="right"/>
              <w:rPr>
                <w:rFonts w:hint="eastAsia" w:eastAsia="楷体_GB2312"/>
                <w:szCs w:val="21"/>
              </w:rPr>
            </w:pPr>
            <w:r>
              <w:rPr>
                <w:rFonts w:hint="eastAsia" w:eastAsia="楷体_GB2312"/>
                <w:szCs w:val="21"/>
              </w:rPr>
              <w:t>姓名</w:t>
            </w:r>
          </w:p>
        </w:tc>
        <w:tc>
          <w:tcPr>
            <w:tcW w:w="1100" w:type="dxa"/>
            <w:gridSpan w:val="2"/>
            <w:tcBorders>
              <w:bottom w:val="single" w:color="auto" w:sz="4" w:space="0"/>
            </w:tcBorders>
            <w:noWrap w:val="0"/>
            <w:vAlign w:val="bottom"/>
          </w:tcPr>
          <w:p w14:paraId="286A1CEC">
            <w:pPr>
              <w:rPr>
                <w:rFonts w:hint="eastAsia" w:eastAsia="楷体_GB2312"/>
                <w:szCs w:val="21"/>
                <w:lang w:val="en-US" w:eastAsia="zh-CN"/>
              </w:rPr>
            </w:pPr>
            <w:r>
              <w:rPr>
                <w:rFonts w:hint="eastAsia" w:eastAsia="楷体_GB2312"/>
                <w:szCs w:val="21"/>
                <w:lang w:val="en-US" w:eastAsia="zh-CN"/>
              </w:rPr>
              <w:t>王培锴</w:t>
            </w:r>
          </w:p>
        </w:tc>
        <w:tc>
          <w:tcPr>
            <w:tcW w:w="1540" w:type="dxa"/>
            <w:gridSpan w:val="2"/>
            <w:tcBorders>
              <w:left w:val="nil"/>
            </w:tcBorders>
            <w:noWrap w:val="0"/>
            <w:vAlign w:val="bottom"/>
          </w:tcPr>
          <w:p w14:paraId="5133E3DC">
            <w:pPr>
              <w:rPr>
                <w:rFonts w:hint="eastAsia" w:eastAsia="楷体_GB2312"/>
                <w:szCs w:val="21"/>
              </w:rPr>
            </w:pPr>
            <w:r>
              <w:rPr>
                <w:rFonts w:hint="eastAsia" w:eastAsia="楷体_GB2312"/>
                <w:szCs w:val="21"/>
              </w:rPr>
              <w:t>专业年级</w:t>
            </w:r>
          </w:p>
        </w:tc>
        <w:tc>
          <w:tcPr>
            <w:tcW w:w="3466" w:type="dxa"/>
            <w:gridSpan w:val="4"/>
            <w:tcBorders>
              <w:bottom w:val="single" w:color="auto" w:sz="4" w:space="0"/>
            </w:tcBorders>
            <w:noWrap w:val="0"/>
            <w:vAlign w:val="bottom"/>
          </w:tcPr>
          <w:p w14:paraId="13236E6A">
            <w:pPr>
              <w:rPr>
                <w:rFonts w:hint="default" w:eastAsia="楷体_GB2312"/>
                <w:szCs w:val="21"/>
                <w:lang w:val="en-US" w:eastAsia="zh-CN"/>
              </w:rPr>
            </w:pPr>
            <w:r>
              <w:rPr>
                <w:rFonts w:hint="eastAsia" w:eastAsia="楷体_GB2312"/>
                <w:szCs w:val="21"/>
                <w:lang w:val="en-US" w:eastAsia="zh-CN"/>
              </w:rPr>
              <w:t>交通运输专业25级别</w:t>
            </w:r>
          </w:p>
        </w:tc>
      </w:tr>
      <w:tr w14:paraId="0420B48F">
        <w:tblPrEx>
          <w:tblCellMar>
            <w:top w:w="0" w:type="dxa"/>
            <w:left w:w="108" w:type="dxa"/>
            <w:bottom w:w="0" w:type="dxa"/>
            <w:right w:w="108" w:type="dxa"/>
          </w:tblCellMar>
        </w:tblPrEx>
        <w:trPr>
          <w:trHeight w:val="113" w:hRule="exact"/>
          <w:jc w:val="center"/>
        </w:trPr>
        <w:tc>
          <w:tcPr>
            <w:tcW w:w="9362" w:type="dxa"/>
            <w:gridSpan w:val="12"/>
            <w:tcBorders>
              <w:bottom w:val="single" w:color="auto" w:sz="4" w:space="0"/>
            </w:tcBorders>
            <w:noWrap w:val="0"/>
            <w:vAlign w:val="bottom"/>
          </w:tcPr>
          <w:p w14:paraId="7AA0B62E">
            <w:pPr>
              <w:rPr>
                <w:rFonts w:hint="eastAsia" w:eastAsia="楷体_GB2312"/>
                <w:szCs w:val="21"/>
              </w:rPr>
            </w:pPr>
          </w:p>
        </w:tc>
      </w:tr>
      <w:tr w14:paraId="7DAE3DDC">
        <w:tblPrEx>
          <w:tblCellMar>
            <w:top w:w="0" w:type="dxa"/>
            <w:left w:w="108" w:type="dxa"/>
            <w:bottom w:w="0" w:type="dxa"/>
            <w:right w:w="108" w:type="dxa"/>
          </w:tblCellMar>
        </w:tblPrEx>
        <w:trPr>
          <w:trHeight w:val="1395" w:hRule="atLeast"/>
          <w:jc w:val="center"/>
        </w:trPr>
        <w:tc>
          <w:tcPr>
            <w:tcW w:w="9362" w:type="dxa"/>
            <w:gridSpan w:val="12"/>
            <w:tcBorders>
              <w:top w:val="single" w:color="auto" w:sz="4" w:space="0"/>
              <w:left w:val="single" w:color="auto" w:sz="4" w:space="0"/>
              <w:right w:val="single" w:color="auto" w:sz="4" w:space="0"/>
            </w:tcBorders>
            <w:noWrap w:val="0"/>
            <w:vAlign w:val="top"/>
          </w:tcPr>
          <w:p w14:paraId="7509F0C7">
            <w:pPr>
              <w:jc w:val="center"/>
              <w:rPr>
                <w:rFonts w:eastAsia="楷体_GB2312"/>
                <w:szCs w:val="21"/>
              </w:rPr>
            </w:pPr>
            <w:r>
              <w:rPr>
                <w:rFonts w:hint="eastAsia" w:eastAsia="楷体_GB2312"/>
                <w:szCs w:val="21"/>
              </w:rPr>
              <w:t>论文要求</w:t>
            </w:r>
          </w:p>
          <w:p w14:paraId="5D1B903C">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当前，世界百年变局加速演进，人类社会走到新的十字路口。个别大国热衷于单边主义、保护主义，对国际规则和国际秩序造成严重冲击，但历史总会在曲折中前进。习近平总书记指出，我们要保持战略定力，主动塑造于我有利的外部环境，坚定不移办好自己的事，把各方面积极因素转化为发展实绩。这一重要论述启示我们，唯有增强战略定力，清晰认知国际国内形势，在更好应对外部环境变化中赢得战略主动，才能推动我国发展行稳致远。</w:t>
            </w:r>
          </w:p>
          <w:p w14:paraId="41DF2DC1">
            <w:pPr>
              <w:spacing w:line="440" w:lineRule="exact"/>
              <w:ind w:firstLine="482" w:firstLineChars="200"/>
              <w:rPr>
                <w:rFonts w:hint="eastAsia" w:ascii="楷体_GB2312" w:hAnsi="宋体" w:eastAsia="楷体_GB2312"/>
                <w:b/>
                <w:bCs/>
                <w:sz w:val="24"/>
              </w:rPr>
            </w:pPr>
          </w:p>
          <w:p w14:paraId="66EB8FB0">
            <w:pPr>
              <w:spacing w:line="440" w:lineRule="exact"/>
              <w:ind w:firstLine="482" w:firstLineChars="200"/>
              <w:rPr>
                <w:rFonts w:ascii="楷体_GB2312" w:hAnsi="宋体" w:eastAsia="楷体_GB2312"/>
                <w:b/>
                <w:bCs/>
                <w:sz w:val="24"/>
              </w:rPr>
            </w:pPr>
            <w:r>
              <w:rPr>
                <w:rFonts w:hint="eastAsia" w:ascii="楷体_GB2312" w:hAnsi="宋体" w:eastAsia="楷体_GB2312"/>
                <w:b/>
                <w:bCs/>
                <w:sz w:val="24"/>
              </w:rPr>
              <w:t>要求：</w:t>
            </w:r>
          </w:p>
          <w:p w14:paraId="55110DE5">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（1）字数不低于2500字；</w:t>
            </w:r>
          </w:p>
          <w:p w14:paraId="6FBE580A">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（2）截止时间为2026年1月4日；</w:t>
            </w:r>
          </w:p>
          <w:p w14:paraId="69288B39">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（3）需要提交查重报告（自行选择查重工具，推荐使用知网查重），查重报告若有多份，提供1份即可；</w:t>
            </w:r>
          </w:p>
          <w:p w14:paraId="14A878D2">
            <w:pPr>
              <w:spacing w:line="440" w:lineRule="exact"/>
              <w:ind w:firstLine="480" w:firstLineChars="200"/>
              <w:rPr>
                <w:rFonts w:hint="eastAsia" w:eastAsia="楷体_GB2312"/>
                <w:szCs w:val="21"/>
              </w:rPr>
            </w:pPr>
            <w:r>
              <w:rPr>
                <w:rFonts w:hint="eastAsia" w:ascii="楷体_GB2312" w:hAnsi="宋体" w:eastAsia="楷体_GB2312"/>
                <w:sz w:val="24"/>
              </w:rPr>
              <w:t>（4）坚持原创，重复率不得高于20%。</w:t>
            </w:r>
          </w:p>
        </w:tc>
      </w:tr>
      <w:tr w14:paraId="12910201">
        <w:tblPrEx>
          <w:tblCellMar>
            <w:top w:w="0" w:type="dxa"/>
            <w:left w:w="108" w:type="dxa"/>
            <w:bottom w:w="0" w:type="dxa"/>
            <w:right w:w="108" w:type="dxa"/>
          </w:tblCellMar>
        </w:tblPrEx>
        <w:trPr>
          <w:trHeight w:val="765" w:hRule="atLeast"/>
          <w:jc w:val="center"/>
        </w:trPr>
        <w:tc>
          <w:tcPr>
            <w:tcW w:w="1155" w:type="dxa"/>
            <w:gridSpan w:val="2"/>
            <w:tcBorders>
              <w:top w:val="single" w:color="auto" w:sz="4" w:space="0"/>
            </w:tcBorders>
            <w:noWrap w:val="0"/>
            <w:vAlign w:val="center"/>
          </w:tcPr>
          <w:p w14:paraId="55B29B68">
            <w:pPr>
              <w:pStyle w:val="3"/>
              <w:rPr>
                <w:rFonts w:hint="eastAsia"/>
                <w:sz w:val="24"/>
                <w:szCs w:val="24"/>
              </w:rPr>
            </w:pPr>
            <w:r>
              <w:rPr>
                <w:rFonts w:hint="eastAsia"/>
                <w:sz w:val="24"/>
                <w:szCs w:val="24"/>
              </w:rPr>
              <w:t>题目：</w:t>
            </w:r>
          </w:p>
        </w:tc>
        <w:tc>
          <w:tcPr>
            <w:tcW w:w="6911" w:type="dxa"/>
            <w:gridSpan w:val="8"/>
            <w:tcBorders>
              <w:top w:val="single" w:color="auto" w:sz="4" w:space="0"/>
              <w:bottom w:val="single" w:color="auto" w:sz="4" w:space="0"/>
            </w:tcBorders>
            <w:noWrap w:val="0"/>
            <w:vAlign w:val="center"/>
          </w:tcPr>
          <w:p w14:paraId="22A938ED">
            <w:pPr>
              <w:pStyle w:val="3"/>
              <w:rPr>
                <w:rFonts w:hint="eastAsia" w:ascii="新宋体" w:hAnsi="新宋体" w:eastAsia="新宋体"/>
                <w:sz w:val="24"/>
                <w:szCs w:val="24"/>
              </w:rPr>
            </w:pPr>
            <w:r>
              <w:rPr>
                <w:rFonts w:hint="eastAsia" w:ascii="新宋体" w:hAnsi="新宋体" w:eastAsia="新宋体"/>
                <w:sz w:val="24"/>
                <w:szCs w:val="24"/>
              </w:rPr>
              <w:t>《百年变局下中国对外政策保持战略定力的深层缘由与实践路径研究》</w:t>
            </w:r>
          </w:p>
        </w:tc>
        <w:tc>
          <w:tcPr>
            <w:tcW w:w="1296" w:type="dxa"/>
            <w:gridSpan w:val="2"/>
            <w:tcBorders>
              <w:top w:val="single" w:color="auto" w:sz="4" w:space="0"/>
            </w:tcBorders>
            <w:noWrap w:val="0"/>
            <w:vAlign w:val="center"/>
          </w:tcPr>
          <w:p w14:paraId="60A10EEF">
            <w:pPr>
              <w:pStyle w:val="3"/>
              <w:jc w:val="both"/>
              <w:rPr>
                <w:rFonts w:hint="eastAsia"/>
                <w:sz w:val="24"/>
                <w:szCs w:val="24"/>
              </w:rPr>
            </w:pPr>
          </w:p>
        </w:tc>
      </w:tr>
    </w:tbl>
    <w:p w14:paraId="40CD071A">
      <w:pPr>
        <w:rPr>
          <w:rFonts w:hint="eastAsia"/>
        </w:rPr>
      </w:pPr>
    </w:p>
    <w:p w14:paraId="4E4AFE80">
      <w:pPr>
        <w:rPr>
          <w:rFonts w:ascii="新宋体" w:hAnsi="新宋体" w:eastAsia="新宋体"/>
        </w:rPr>
      </w:pPr>
    </w:p>
    <w:p w14:paraId="2FE8D99A">
      <w:pPr>
        <w:rPr>
          <w:rFonts w:ascii="新宋体" w:hAnsi="新宋体" w:eastAsia="新宋体"/>
        </w:rPr>
      </w:pPr>
    </w:p>
    <w:p w14:paraId="0405D182">
      <w:pPr>
        <w:rPr>
          <w:rFonts w:ascii="新宋体" w:hAnsi="新宋体" w:eastAsia="新宋体"/>
        </w:rPr>
      </w:pPr>
    </w:p>
    <w:p w14:paraId="39BA4B7F">
      <w:pPr>
        <w:rPr>
          <w:rFonts w:ascii="新宋体" w:hAnsi="新宋体" w:eastAsia="新宋体"/>
        </w:rPr>
      </w:pPr>
    </w:p>
    <w:p w14:paraId="7BB1E5CD">
      <w:pPr>
        <w:rPr>
          <w:rFonts w:ascii="新宋体" w:hAnsi="新宋体" w:eastAsia="新宋体"/>
        </w:rPr>
      </w:pPr>
    </w:p>
    <w:p w14:paraId="306387AA">
      <w:pPr>
        <w:rPr>
          <w:rFonts w:ascii="新宋体" w:hAnsi="新宋体" w:eastAsia="新宋体"/>
        </w:rPr>
      </w:pPr>
    </w:p>
    <w:p w14:paraId="752202A3">
      <w:pPr>
        <w:rPr>
          <w:rFonts w:ascii="新宋体" w:hAnsi="新宋体" w:eastAsia="新宋体"/>
        </w:rPr>
      </w:pPr>
    </w:p>
    <w:p w14:paraId="4EF28128">
      <w:pPr>
        <w:rPr>
          <w:rFonts w:ascii="新宋体" w:hAnsi="新宋体" w:eastAsia="新宋体"/>
        </w:rPr>
      </w:pPr>
    </w:p>
    <w:p w14:paraId="4972461B">
      <w:pPr>
        <w:rPr>
          <w:rFonts w:ascii="新宋体" w:hAnsi="新宋体" w:eastAsia="新宋体"/>
        </w:rPr>
      </w:pPr>
    </w:p>
    <w:p w14:paraId="16C6EF34">
      <w:pPr>
        <w:rPr>
          <w:rFonts w:ascii="新宋体" w:hAnsi="新宋体" w:eastAsia="新宋体"/>
        </w:rPr>
      </w:pPr>
    </w:p>
    <w:p w14:paraId="3667921C">
      <w:pPr>
        <w:rPr>
          <w:rFonts w:ascii="新宋体" w:hAnsi="新宋体" w:eastAsia="新宋体"/>
        </w:rPr>
      </w:pPr>
    </w:p>
    <w:p w14:paraId="75C35040">
      <w:pPr>
        <w:rPr>
          <w:rFonts w:ascii="新宋体" w:hAnsi="新宋体" w:eastAsia="新宋体"/>
        </w:rPr>
      </w:pPr>
    </w:p>
    <w:p w14:paraId="3AD6DFF0">
      <w:pPr>
        <w:rPr>
          <w:rFonts w:ascii="新宋体" w:hAnsi="新宋体" w:eastAsia="新宋体"/>
        </w:rPr>
      </w:pPr>
    </w:p>
    <w:p w14:paraId="2F0000F7">
      <w:pPr>
        <w:rPr>
          <w:rFonts w:ascii="新宋体" w:hAnsi="新宋体" w:eastAsia="新宋体"/>
        </w:rPr>
      </w:pPr>
    </w:p>
    <w:p w14:paraId="10ADF511">
      <w:pPr>
        <w:jc w:val="center"/>
        <w:rPr>
          <w:rFonts w:hint="eastAsia" w:ascii="宋体" w:hAnsi="宋体" w:eastAsia="宋体" w:cs="宋体"/>
          <w:b/>
          <w:bCs/>
          <w:sz w:val="28"/>
          <w:szCs w:val="28"/>
        </w:rPr>
      </w:pPr>
      <w:r>
        <w:rPr>
          <w:rFonts w:hint="eastAsia" w:ascii="宋体" w:hAnsi="宋体" w:eastAsia="宋体" w:cs="宋体"/>
          <w:b/>
          <w:bCs/>
          <w:sz w:val="28"/>
          <w:szCs w:val="28"/>
        </w:rPr>
        <w:t>摘要</w:t>
      </w:r>
    </w:p>
    <w:p w14:paraId="7CECAD23">
      <w:pPr>
        <w:rPr>
          <w:rFonts w:hint="eastAsia" w:ascii="新宋体" w:hAnsi="新宋体" w:eastAsia="新宋体"/>
        </w:rPr>
      </w:pPr>
    </w:p>
    <w:p w14:paraId="010C1F5A">
      <w:pPr>
        <w:rPr>
          <w:rFonts w:hint="eastAsia" w:ascii="新宋体" w:hAnsi="新宋体" w:eastAsia="新宋体"/>
        </w:rPr>
      </w:pPr>
      <w:r>
        <w:rPr>
          <w:rFonts w:hint="eastAsia" w:ascii="新宋体" w:hAnsi="新宋体" w:eastAsia="新宋体"/>
        </w:rPr>
        <w:t>当今世界正经历百年未有之大变局是以习近平同志为核心的党中央科学研判全球发展大势、深刻洞察世界格局作出的重要论断。进入新时期，国际政治格局、经济发展范式、全球治理模式、文明交流碰撞呈现出新的特点和趋势。在此背景下，中国坚持“保持战略定力”，成为其对外政策的核心特征。本文从历史逻辑、理论基础、现实需求和制度优势四个维度，深入剖析中国在百年变局中保持对外战略定力的深层缘由，并结合新时代外交实践，系统探讨其具体路径，包括坚持独立自主的和平外交、推动构建人类命运共同体、深化多边主义合作、统筹发展与安全等。研究表明，中国的战略定力不仅源于对自身国情和发展阶段的清醒认知，更植根于中华文明的治理智慧与社会主义制度的优越性，是实现中华民族伟大复兴的重要保障。</w:t>
      </w:r>
    </w:p>
    <w:p w14:paraId="3747EF43">
      <w:pPr>
        <w:rPr>
          <w:rFonts w:hint="eastAsia" w:ascii="新宋体" w:hAnsi="新宋体" w:eastAsia="新宋体"/>
        </w:rPr>
      </w:pPr>
    </w:p>
    <w:p w14:paraId="307E0CFD">
      <w:pPr>
        <w:rPr>
          <w:rFonts w:hint="eastAsia" w:ascii="新宋体" w:hAnsi="新宋体" w:eastAsia="新宋体"/>
        </w:rPr>
      </w:pPr>
      <w:r>
        <w:rPr>
          <w:rFonts w:hint="eastAsia" w:ascii="新宋体" w:hAnsi="新宋体" w:eastAsia="新宋体"/>
          <w:b/>
          <w:bCs/>
        </w:rPr>
        <w:t>关键词</w:t>
      </w:r>
      <w:r>
        <w:rPr>
          <w:rFonts w:hint="eastAsia" w:ascii="新宋体" w:hAnsi="新宋体" w:eastAsia="新宋体"/>
        </w:rPr>
        <w:t>：百年变局；战略定力；对外政策；人类命运共同体；多边主义</w:t>
      </w:r>
    </w:p>
    <w:p w14:paraId="239A998A">
      <w:pPr>
        <w:rPr>
          <w:rFonts w:hint="eastAsia" w:ascii="新宋体" w:hAnsi="新宋体" w:eastAsia="新宋体"/>
        </w:rPr>
      </w:pPr>
    </w:p>
    <w:p w14:paraId="6AD4808B">
      <w:pPr>
        <w:rPr>
          <w:rFonts w:hint="eastAsia" w:ascii="宋体" w:hAnsi="宋体" w:eastAsia="宋体" w:cs="宋体"/>
          <w:b/>
          <w:bCs/>
          <w:sz w:val="28"/>
          <w:szCs w:val="28"/>
        </w:rPr>
      </w:pPr>
      <w:r>
        <w:rPr>
          <w:rFonts w:hint="eastAsia" w:ascii="宋体" w:hAnsi="宋体" w:eastAsia="宋体" w:cs="宋体"/>
          <w:b/>
          <w:bCs/>
          <w:sz w:val="28"/>
          <w:szCs w:val="28"/>
        </w:rPr>
        <w:t>一、引言</w:t>
      </w:r>
    </w:p>
    <w:p w14:paraId="10D363C4">
      <w:pPr>
        <w:rPr>
          <w:rFonts w:hint="eastAsia" w:ascii="新宋体" w:hAnsi="新宋体" w:eastAsia="新宋体"/>
        </w:rPr>
      </w:pPr>
      <w:r>
        <w:rPr>
          <w:rFonts w:hint="eastAsia" w:ascii="新宋体" w:hAnsi="新宋体" w:eastAsia="新宋体"/>
        </w:rPr>
        <w:t>当今世界正处于百年未有之大变局的关键阶段。一方面，新一轮科技革命和产业变革重塑全球竞争格局；另一方面，大国博弈加剧、全球性危机频发、国际规则遭遇侵蚀，世界进入新的动荡变革期。面对复杂严峻的外部环境，个别大国奉行“本国优先”政策，频繁“退群毁约”，严重冲击以联合国为核心的国际体系。在此背景下，中国始终强调“保持战略定力”，不随波逐流、不盲目对抗，而是以冷静、理性、长远的眼光谋划对外关系，主动塑造有利的战略环境。</w:t>
      </w:r>
    </w:p>
    <w:p w14:paraId="6162B802">
      <w:pPr>
        <w:rPr>
          <w:rFonts w:hint="eastAsia" w:ascii="新宋体" w:hAnsi="新宋体" w:eastAsia="新宋体"/>
        </w:rPr>
      </w:pPr>
    </w:p>
    <w:p w14:paraId="0B70D4CC">
      <w:pPr>
        <w:rPr>
          <w:rFonts w:hint="eastAsia" w:ascii="新宋体" w:hAnsi="新宋体" w:eastAsia="新宋体"/>
        </w:rPr>
      </w:pPr>
      <w:r>
        <w:rPr>
          <w:rFonts w:hint="eastAsia" w:ascii="新宋体" w:hAnsi="新宋体" w:eastAsia="新宋体"/>
        </w:rPr>
        <w:t>习近平总书记多次指出：“我们要保持战略定力，把我国发展进步的命运牢牢掌握在自己手中。”这一战略思维不仅体现了中国共产党对国际形势的深刻洞察，也彰显了中国特色大国外交的成熟与自信。本文旨在系统阐释中国在百年变局下坚持战略定力的深层动因，并探索其在外交实践中的具体路径，为理解新时代中国对外政策提供理论支撑与现实参考。</w:t>
      </w:r>
    </w:p>
    <w:p w14:paraId="2F52B481">
      <w:pPr>
        <w:rPr>
          <w:rFonts w:hint="eastAsia" w:ascii="新宋体" w:hAnsi="新宋体" w:eastAsia="新宋体"/>
        </w:rPr>
      </w:pPr>
    </w:p>
    <w:p w14:paraId="00B03E11">
      <w:pPr>
        <w:rPr>
          <w:rFonts w:hint="eastAsia" w:ascii="宋体" w:hAnsi="宋体" w:eastAsia="宋体" w:cs="宋体"/>
          <w:b/>
          <w:bCs/>
          <w:sz w:val="28"/>
          <w:szCs w:val="28"/>
        </w:rPr>
      </w:pPr>
      <w:r>
        <w:rPr>
          <w:rFonts w:hint="eastAsia" w:ascii="宋体" w:hAnsi="宋体" w:eastAsia="宋体" w:cs="宋体"/>
          <w:b/>
          <w:bCs/>
          <w:sz w:val="28"/>
          <w:szCs w:val="28"/>
        </w:rPr>
        <w:t>二、战略定力的内涵与时代意义</w:t>
      </w:r>
    </w:p>
    <w:p w14:paraId="0FD605C7">
      <w:pPr>
        <w:rPr>
          <w:rFonts w:hint="eastAsia" w:ascii="新宋体" w:hAnsi="新宋体" w:eastAsia="新宋体"/>
        </w:rPr>
      </w:pPr>
      <w:r>
        <w:rPr>
          <w:rFonts w:hint="eastAsia" w:ascii="新宋体" w:hAnsi="新宋体" w:eastAsia="新宋体"/>
        </w:rPr>
        <w:t>“战略定力”是指一个国家在复杂多变的国际环境中，基于对自身发展目标、核心利益和历史方位的清晰判断，所展现出的坚定信念、稳定政策取向和长期行动能力。它不是消极被动的“不动”，而是主动作为中的“不乱”；不是固步自封，而是在变局中把握不变，在不确定中锚定确定。</w:t>
      </w:r>
    </w:p>
    <w:p w14:paraId="19855CA6">
      <w:pPr>
        <w:rPr>
          <w:rFonts w:hint="eastAsia" w:ascii="新宋体" w:hAnsi="新宋体" w:eastAsia="新宋体"/>
        </w:rPr>
      </w:pPr>
    </w:p>
    <w:p w14:paraId="1978B834">
      <w:pPr>
        <w:rPr>
          <w:rFonts w:hint="eastAsia" w:ascii="新宋体" w:hAnsi="新宋体" w:eastAsia="新宋体"/>
        </w:rPr>
      </w:pPr>
      <w:r>
        <w:rPr>
          <w:rFonts w:hint="eastAsia" w:ascii="新宋体" w:hAnsi="新宋体" w:eastAsia="新宋体"/>
        </w:rPr>
        <w:t>在百年变局加速演进的今天，战略定力具有三重时代意义：</w:t>
      </w:r>
    </w:p>
    <w:p w14:paraId="20FA7FD0">
      <w:pPr>
        <w:rPr>
          <w:rFonts w:hint="eastAsia" w:ascii="新宋体" w:hAnsi="新宋体" w:eastAsia="新宋体"/>
        </w:rPr>
      </w:pPr>
    </w:p>
    <w:p w14:paraId="60B9D0FC">
      <w:pPr>
        <w:rPr>
          <w:rFonts w:hint="eastAsia" w:ascii="新宋体" w:hAnsi="新宋体" w:eastAsia="新宋体"/>
        </w:rPr>
      </w:pPr>
      <w:r>
        <w:rPr>
          <w:rFonts w:hint="eastAsia" w:ascii="新宋体" w:hAnsi="新宋体" w:eastAsia="新宋体"/>
        </w:rPr>
        <w:t>维护国家主权、安全与发展利益的根本保障。面对外部打压遏制，唯有保持定力，才能避免战略透支或误判，确保国家核心利益不受损。</w:t>
      </w:r>
    </w:p>
    <w:p w14:paraId="6C0EBE16">
      <w:pPr>
        <w:rPr>
          <w:rFonts w:hint="eastAsia" w:ascii="新宋体" w:hAnsi="新宋体" w:eastAsia="新宋体"/>
        </w:rPr>
      </w:pPr>
      <w:r>
        <w:rPr>
          <w:rFonts w:hint="eastAsia" w:ascii="新宋体" w:hAnsi="新宋体" w:eastAsia="新宋体"/>
        </w:rPr>
        <w:t>推动高质量发展的外部支撑。稳定的外交环境有助于吸引外资、拓展市场、保障供应链安全，为国内经济转型升级创造条件。</w:t>
      </w:r>
    </w:p>
    <w:p w14:paraId="4F57FB00">
      <w:pPr>
        <w:rPr>
          <w:rFonts w:hint="eastAsia" w:ascii="新宋体" w:hAnsi="新宋体" w:eastAsia="新宋体"/>
        </w:rPr>
      </w:pPr>
      <w:r>
        <w:rPr>
          <w:rFonts w:hint="eastAsia" w:ascii="新宋体" w:hAnsi="新宋体" w:eastAsia="新宋体"/>
        </w:rPr>
        <w:t>引领全球治理变革的道义基础。中国以负责任大国姿态参与国际事务，反对霸权主义，倡导公平正义，赢得广大发展中国家支持。</w:t>
      </w:r>
    </w:p>
    <w:p w14:paraId="4D2B6A04">
      <w:pPr>
        <w:rPr>
          <w:rFonts w:hint="eastAsia" w:ascii="宋体" w:hAnsi="宋体" w:eastAsia="宋体" w:cs="宋体"/>
          <w:b/>
          <w:bCs/>
          <w:sz w:val="28"/>
          <w:szCs w:val="28"/>
        </w:rPr>
      </w:pPr>
      <w:r>
        <w:rPr>
          <w:rFonts w:hint="eastAsia" w:ascii="宋体" w:hAnsi="宋体" w:eastAsia="宋体" w:cs="宋体"/>
          <w:b/>
          <w:bCs/>
          <w:sz w:val="28"/>
          <w:szCs w:val="28"/>
        </w:rPr>
        <w:t>三、中国保持对外战略定力的深层缘由</w:t>
      </w:r>
    </w:p>
    <w:p w14:paraId="7EFC059C">
      <w:pPr>
        <w:rPr>
          <w:rFonts w:hint="eastAsia" w:ascii="新宋体" w:hAnsi="新宋体" w:eastAsia="新宋体"/>
          <w:b/>
          <w:bCs/>
          <w:sz w:val="24"/>
          <w:szCs w:val="24"/>
        </w:rPr>
      </w:pPr>
      <w:r>
        <w:rPr>
          <w:rFonts w:hint="eastAsia" w:ascii="新宋体" w:hAnsi="新宋体" w:eastAsia="新宋体"/>
          <w:b/>
          <w:bCs/>
          <w:sz w:val="24"/>
          <w:szCs w:val="24"/>
        </w:rPr>
        <w:t>（一）历史逻辑：中华文明的“和合”传统与战略耐心</w:t>
      </w:r>
    </w:p>
    <w:p w14:paraId="6EC4C0A7">
      <w:pPr>
        <w:rPr>
          <w:rFonts w:hint="eastAsia" w:ascii="新宋体" w:hAnsi="新宋体" w:eastAsia="新宋体"/>
        </w:rPr>
      </w:pPr>
      <w:r>
        <w:rPr>
          <w:rFonts w:hint="eastAsia" w:ascii="新宋体" w:hAnsi="新宋体" w:eastAsia="新宋体"/>
        </w:rPr>
        <w:t>中华文明五千年绵延不断，形成了“以和为贵”“协和万邦”“天下大同”的外交哲学</w:t>
      </w:r>
      <w:r>
        <w:rPr>
          <w:rFonts w:hint="eastAsia" w:ascii="新宋体" w:hAnsi="新宋体" w:eastAsia="新宋体"/>
          <w:lang w:eastAsia="zh-CN"/>
        </w:rPr>
        <w:t>。</w:t>
      </w:r>
      <w:r>
        <w:rPr>
          <w:rFonts w:hint="eastAsia" w:ascii="新宋体" w:hAnsi="新宋体" w:eastAsia="新宋体"/>
        </w:rPr>
        <w:t>这种文化基因决定了中国在对外关系中更倾向于通过对话协商解决分歧，而非诉诸武力或胁迫。</w:t>
      </w:r>
    </w:p>
    <w:p w14:paraId="51E5DB3B">
      <w:pPr>
        <w:rPr>
          <w:rFonts w:hint="eastAsia" w:ascii="新宋体" w:hAnsi="新宋体" w:eastAsia="新宋体"/>
        </w:rPr>
      </w:pPr>
    </w:p>
    <w:p w14:paraId="157695AE">
      <w:pPr>
        <w:rPr>
          <w:rFonts w:hint="eastAsia" w:ascii="新宋体" w:hAnsi="新宋体" w:eastAsia="新宋体"/>
        </w:rPr>
      </w:pPr>
      <w:r>
        <w:rPr>
          <w:rFonts w:hint="eastAsia" w:ascii="新宋体" w:hAnsi="新宋体" w:eastAsia="新宋体"/>
        </w:rPr>
        <w:t>此外，近代以来的屈辱历史使中国人民深刻认识到“落后就要挨打”，也更加珍视来之不易的发展机遇。因此，无论外部环境如何变化，中国始终将发展作为第一要务，坚持“韬光养晦、有所作为”的战略智慧，体现出极强的历史耐心与战略韧性。当前世界多元文明之间的碰撞愈发频繁，但在“历史终结论”“文明优越论”等潮的冲击下，世界多元文明的生存空间受到挤压，正常的文明碰撞被激化，甚至诱发了局部地缘冲突。同时，全球南方国家发展壮大，各国在展</w:t>
      </w:r>
      <w:r>
        <w:rPr>
          <w:rFonts w:hint="eastAsia" w:ascii="新宋体" w:hAnsi="新宋体" w:eastAsia="新宋体"/>
          <w:lang w:val="en-US" w:eastAsia="zh-CN"/>
        </w:rPr>
        <w:t>发</w:t>
      </w:r>
      <w:r>
        <w:rPr>
          <w:rFonts w:hint="eastAsia" w:ascii="新宋体" w:hAnsi="新宋体" w:eastAsia="新宋体"/>
        </w:rPr>
        <w:t>道路、治理理念方面“去西方化”脚步加快。中国适时提出“全球文明倡议”，坚持弘扬全人类共同价值，倡导世界各国基于自身文化特色和历史实践，加强与其他明</w:t>
      </w:r>
      <w:r>
        <w:rPr>
          <w:rFonts w:hint="eastAsia" w:ascii="新宋体" w:hAnsi="新宋体" w:eastAsia="新宋体"/>
          <w:lang w:val="en-US" w:eastAsia="zh-CN"/>
        </w:rPr>
        <w:t>文</w:t>
      </w:r>
      <w:r>
        <w:rPr>
          <w:rFonts w:hint="eastAsia" w:ascii="新宋体" w:hAnsi="新宋体" w:eastAsia="新宋体"/>
        </w:rPr>
        <w:t>的交流互鉴，以多元文明和谐共生探索出多样性的发展道路。</w:t>
      </w:r>
    </w:p>
    <w:p w14:paraId="6D2A0397">
      <w:pPr>
        <w:rPr>
          <w:rFonts w:hint="eastAsia" w:ascii="新宋体" w:hAnsi="新宋体" w:eastAsia="新宋体"/>
        </w:rPr>
      </w:pPr>
    </w:p>
    <w:p w14:paraId="26D22D9C">
      <w:pPr>
        <w:rPr>
          <w:rFonts w:hint="eastAsia" w:ascii="新宋体" w:hAnsi="新宋体" w:eastAsia="新宋体"/>
        </w:rPr>
      </w:pPr>
    </w:p>
    <w:p w14:paraId="1245CE45">
      <w:pPr>
        <w:rPr>
          <w:rFonts w:hint="eastAsia" w:ascii="新宋体" w:hAnsi="新宋体" w:eastAsia="新宋体" w:cs="Times New Roman"/>
          <w:b/>
          <w:bCs/>
          <w:sz w:val="24"/>
          <w:szCs w:val="24"/>
        </w:rPr>
      </w:pPr>
      <w:r>
        <w:rPr>
          <w:rFonts w:hint="eastAsia" w:ascii="新宋体" w:hAnsi="新宋体" w:eastAsia="新宋体" w:cs="Times New Roman"/>
          <w:b/>
          <w:bCs/>
          <w:sz w:val="24"/>
          <w:szCs w:val="24"/>
        </w:rPr>
        <w:t>（二）理论基础：马克思主义中国化时代化的外交思想指引</w:t>
      </w:r>
    </w:p>
    <w:p w14:paraId="785FCC43">
      <w:pPr>
        <w:rPr>
          <w:rFonts w:hint="eastAsia" w:ascii="新宋体" w:hAnsi="新宋体" w:eastAsia="新宋体"/>
        </w:rPr>
      </w:pPr>
      <w:r>
        <w:rPr>
          <w:rFonts w:hint="eastAsia" w:ascii="新宋体" w:hAnsi="新宋体" w:eastAsia="新宋体"/>
        </w:rPr>
        <w:t>中国共产党的外交思想始终以马克思主义基本原理为指导，并结合中国实际不断创新发展。从毛泽东的“三个世界”划分，到邓小平的“和平与发展”主题判断，再到习近平提出的“构建人类命运共同体”，中国外交理论一脉相承又与时俱进。</w:t>
      </w:r>
    </w:p>
    <w:p w14:paraId="6797D3C0">
      <w:pPr>
        <w:rPr>
          <w:rFonts w:hint="eastAsia" w:ascii="新宋体" w:hAnsi="新宋体" w:eastAsia="新宋体"/>
        </w:rPr>
      </w:pPr>
    </w:p>
    <w:p w14:paraId="49E09BC6">
      <w:pPr>
        <w:rPr>
          <w:rFonts w:hint="eastAsia" w:ascii="新宋体" w:hAnsi="新宋体" w:eastAsia="新宋体"/>
        </w:rPr>
      </w:pPr>
      <w:r>
        <w:rPr>
          <w:rFonts w:hint="eastAsia" w:ascii="新宋体" w:hAnsi="新宋体" w:eastAsia="新宋体"/>
        </w:rPr>
        <w:t>特别是习近平外交思想，系统回答了新时代中国应推动建设什么样的世界、构建什么样的国际关系、如何办好新时代外交等重大问题。其中，“坚持战略自信和保持战略定力”被明确列为重要原则，强调“既要敢于斗争，也要善于斗争”，“在原则问题上寸步不让，在策略问题上灵活机动”。这一思想为中国在变局中保持定力提供了科学指南。</w:t>
      </w:r>
    </w:p>
    <w:p w14:paraId="12875084">
      <w:pPr>
        <w:rPr>
          <w:rFonts w:hint="eastAsia" w:ascii="新宋体" w:hAnsi="新宋体" w:eastAsia="新宋体"/>
        </w:rPr>
      </w:pPr>
    </w:p>
    <w:p w14:paraId="0F8004D0">
      <w:pPr>
        <w:rPr>
          <w:rFonts w:hint="eastAsia" w:ascii="新宋体" w:hAnsi="新宋体" w:eastAsia="新宋体" w:cs="Times New Roman"/>
          <w:b/>
          <w:bCs/>
          <w:sz w:val="24"/>
          <w:szCs w:val="24"/>
        </w:rPr>
      </w:pPr>
      <w:r>
        <w:rPr>
          <w:rFonts w:hint="eastAsia" w:ascii="新宋体" w:hAnsi="新宋体" w:eastAsia="新宋体" w:cs="Times New Roman"/>
          <w:b/>
          <w:bCs/>
          <w:sz w:val="24"/>
          <w:szCs w:val="24"/>
        </w:rPr>
        <w:t>（三）现实需求：统筹中华民族伟大复兴战略全局与世界百年未有之大变局</w:t>
      </w:r>
    </w:p>
    <w:p w14:paraId="691C14DA">
      <w:pPr>
        <w:rPr>
          <w:rFonts w:hint="eastAsia" w:ascii="新宋体" w:hAnsi="新宋体" w:eastAsia="新宋体"/>
        </w:rPr>
      </w:pPr>
      <w:r>
        <w:rPr>
          <w:rFonts w:hint="eastAsia" w:ascii="新宋体" w:hAnsi="新宋体" w:eastAsia="新宋体"/>
        </w:rPr>
        <w:t>当前，中国正处于实现第</w:t>
      </w:r>
      <w:r>
        <w:rPr>
          <w:rFonts w:hint="eastAsia" w:ascii="新宋体" w:hAnsi="新宋体" w:eastAsia="新宋体"/>
          <w:lang w:val="en-US" w:eastAsia="zh-CN"/>
        </w:rPr>
        <w:t>百</w:t>
      </w:r>
      <w:r>
        <w:rPr>
          <w:rFonts w:hint="eastAsia" w:ascii="新宋体" w:hAnsi="新宋体" w:eastAsia="新宋体"/>
        </w:rPr>
        <w:t>个</w:t>
      </w:r>
      <w:r>
        <w:rPr>
          <w:rFonts w:hint="eastAsia" w:ascii="新宋体" w:hAnsi="新宋体" w:eastAsia="新宋体"/>
          <w:lang w:val="en-US" w:eastAsia="zh-CN"/>
        </w:rPr>
        <w:t>二</w:t>
      </w:r>
      <w:r>
        <w:rPr>
          <w:rFonts w:hint="eastAsia" w:ascii="新宋体" w:hAnsi="新宋体" w:eastAsia="新宋体"/>
        </w:rPr>
        <w:t>年奋斗目标的关键阶段，发展任务艰巨，改革进入深水区。与此同时，外部遏制打压持续加码，技术封锁、产业链“脱钩断链”、意识形态围堵等风险交织叠加。在此背景下，若对外政策摇摆不定或过度反应，极易陷入“战略透支”或“安全困境”。</w:t>
      </w:r>
    </w:p>
    <w:p w14:paraId="4ABF6543">
      <w:pPr>
        <w:rPr>
          <w:rFonts w:hint="eastAsia" w:ascii="新宋体" w:hAnsi="新宋体" w:eastAsia="新宋体"/>
        </w:rPr>
      </w:pPr>
    </w:p>
    <w:p w14:paraId="23214487">
      <w:pPr>
        <w:rPr>
          <w:rFonts w:hint="eastAsia" w:ascii="新宋体" w:hAnsi="新宋体" w:eastAsia="新宋体"/>
        </w:rPr>
      </w:pPr>
      <w:r>
        <w:rPr>
          <w:rFonts w:hint="eastAsia" w:ascii="新宋体" w:hAnsi="新宋体" w:eastAsia="新宋体"/>
        </w:rPr>
        <w:t>保持战略定力，意味着中国能够准确识别主要矛盾——即人民日益增长的美好生活需要和不平衡不充分的发展之间的矛盾，从而将资源集中于国内高质量发展，同时以“底线思维”防范外部风险，做到“任凭风浪起，稳坐钓鱼船”。</w:t>
      </w:r>
    </w:p>
    <w:p w14:paraId="525113C5">
      <w:pPr>
        <w:rPr>
          <w:rFonts w:hint="eastAsia" w:ascii="新宋体" w:hAnsi="新宋体" w:eastAsia="新宋体"/>
        </w:rPr>
      </w:pPr>
    </w:p>
    <w:p w14:paraId="0FBBF42A">
      <w:pPr>
        <w:rPr>
          <w:rFonts w:hint="eastAsia" w:ascii="新宋体" w:hAnsi="新宋体" w:eastAsia="新宋体" w:cs="Times New Roman"/>
          <w:b/>
          <w:bCs/>
          <w:sz w:val="24"/>
          <w:szCs w:val="24"/>
        </w:rPr>
      </w:pPr>
      <w:r>
        <w:rPr>
          <w:rFonts w:hint="eastAsia" w:ascii="新宋体" w:hAnsi="新宋体" w:eastAsia="新宋体" w:cs="Times New Roman"/>
          <w:b/>
          <w:bCs/>
          <w:sz w:val="24"/>
          <w:szCs w:val="24"/>
        </w:rPr>
        <w:t>（四）制度优势：党的领导与集中力量办大事的体制效能</w:t>
      </w:r>
    </w:p>
    <w:p w14:paraId="12D0054E">
      <w:pPr>
        <w:rPr>
          <w:rFonts w:hint="eastAsia" w:ascii="新宋体" w:hAnsi="新宋体" w:eastAsia="新宋体"/>
        </w:rPr>
      </w:pPr>
      <w:r>
        <w:rPr>
          <w:rFonts w:hint="eastAsia" w:ascii="新宋体" w:hAnsi="新宋体" w:eastAsia="新宋体"/>
        </w:rPr>
        <w:t>中国共产党领导是中国特色社会主义最本质的特征，也是中国外交保持定力的根本保证。党中央对外交工作实行集中统一领导，确保政策连续性、稳定性，避免因政党轮替或利益集团博弈导致外交反复无常。</w:t>
      </w:r>
    </w:p>
    <w:p w14:paraId="32A4146F">
      <w:pPr>
        <w:rPr>
          <w:rFonts w:hint="eastAsia" w:ascii="新宋体" w:hAnsi="新宋体" w:eastAsia="新宋体"/>
        </w:rPr>
      </w:pPr>
    </w:p>
    <w:p w14:paraId="225A4F4F">
      <w:pPr>
        <w:rPr>
          <w:rFonts w:hint="eastAsia" w:ascii="新宋体" w:hAnsi="新宋体" w:eastAsia="新宋体"/>
        </w:rPr>
      </w:pPr>
      <w:r>
        <w:rPr>
          <w:rFonts w:hint="eastAsia" w:ascii="新宋体" w:hAnsi="新宋体" w:eastAsia="新宋体"/>
        </w:rPr>
        <w:t>此外，中国“全国一盘棋”的治理模式，使其能够在重大外交议题上迅速凝聚共识、调配资源。例如，在应对新冠疫情、推动“一带一路”建设、参与气候变化谈判等全球议题中，中国展现出高效的决策执行力，这正是制度优势转化为外交效能的体现。</w:t>
      </w:r>
    </w:p>
    <w:p w14:paraId="1D91822A">
      <w:pPr>
        <w:rPr>
          <w:rFonts w:hint="eastAsia" w:ascii="新宋体" w:hAnsi="新宋体" w:eastAsia="新宋体"/>
        </w:rPr>
      </w:pPr>
    </w:p>
    <w:p w14:paraId="3CCE4807">
      <w:pPr>
        <w:rPr>
          <w:rFonts w:hint="eastAsia" w:ascii="宋体" w:hAnsi="宋体" w:eastAsia="宋体" w:cs="宋体"/>
          <w:b/>
          <w:bCs/>
          <w:sz w:val="28"/>
          <w:szCs w:val="28"/>
        </w:rPr>
      </w:pPr>
      <w:r>
        <w:rPr>
          <w:rFonts w:hint="eastAsia" w:ascii="宋体" w:hAnsi="宋体" w:eastAsia="宋体" w:cs="宋体"/>
          <w:b/>
          <w:bCs/>
          <w:sz w:val="28"/>
          <w:szCs w:val="28"/>
        </w:rPr>
        <w:t>四、中国对外政策保持战略定力的实践路径</w:t>
      </w:r>
    </w:p>
    <w:p w14:paraId="18656818">
      <w:pPr>
        <w:rPr>
          <w:rFonts w:hint="eastAsia" w:ascii="新宋体" w:hAnsi="新宋体" w:eastAsia="新宋体" w:cs="Times New Roman"/>
          <w:b/>
          <w:bCs/>
          <w:sz w:val="24"/>
          <w:szCs w:val="24"/>
        </w:rPr>
      </w:pPr>
      <w:r>
        <w:rPr>
          <w:rFonts w:hint="eastAsia" w:ascii="新宋体" w:hAnsi="新宋体" w:eastAsia="新宋体" w:cs="Times New Roman"/>
          <w:b/>
          <w:bCs/>
          <w:sz w:val="24"/>
          <w:szCs w:val="24"/>
        </w:rPr>
        <w:t>（一）坚持独立自主的和平外交方针</w:t>
      </w:r>
    </w:p>
    <w:p w14:paraId="2E68B307">
      <w:pPr>
        <w:rPr>
          <w:rFonts w:hint="eastAsia" w:ascii="新宋体" w:hAnsi="新宋体" w:eastAsia="新宋体"/>
        </w:rPr>
      </w:pPr>
      <w:r>
        <w:rPr>
          <w:rFonts w:hint="eastAsia" w:ascii="新宋体" w:hAnsi="新宋体" w:eastAsia="新宋体"/>
        </w:rPr>
        <w:t>中国始终奉行独立自主的和平外交政策，不结盟、不依附、不称霸。面对美西方施压，中国既坚决捍卫国家主权（如在台湾、南海、涉疆等问题上立场坚定），又避免陷入“新冷战”陷阱。通过“对话而不对抗、结伴而不结盟”的方式，中国与180多个国家建立不同形式的伙伴关系，构建起覆盖全球的“朋友圈”。</w:t>
      </w:r>
    </w:p>
    <w:p w14:paraId="2C8B78D4">
      <w:pPr>
        <w:rPr>
          <w:rFonts w:hint="eastAsia" w:ascii="新宋体" w:hAnsi="新宋体" w:eastAsia="新宋体"/>
        </w:rPr>
      </w:pPr>
    </w:p>
    <w:p w14:paraId="291C2DD9">
      <w:pPr>
        <w:rPr>
          <w:rFonts w:hint="eastAsia" w:ascii="新宋体" w:hAnsi="新宋体" w:eastAsia="新宋体"/>
        </w:rPr>
      </w:pPr>
      <w:r>
        <w:rPr>
          <w:rFonts w:hint="eastAsia" w:ascii="新宋体" w:hAnsi="新宋体" w:eastAsia="新宋体" w:cs="Times New Roman"/>
          <w:b/>
          <w:bCs/>
          <w:sz w:val="24"/>
          <w:szCs w:val="24"/>
        </w:rPr>
        <w:t>（二）推动构建人类命运共同体</w:t>
      </w:r>
    </w:p>
    <w:p w14:paraId="49CF09DB">
      <w:pPr>
        <w:rPr>
          <w:rFonts w:hint="eastAsia" w:ascii="新宋体" w:hAnsi="新宋体" w:eastAsia="新宋体"/>
        </w:rPr>
      </w:pPr>
      <w:r>
        <w:rPr>
          <w:rFonts w:hint="eastAsia" w:ascii="新宋体" w:hAnsi="新宋体" w:eastAsia="新宋体"/>
        </w:rPr>
        <w:t>这是中国</w:t>
      </w:r>
      <w:r>
        <w:rPr>
          <w:rFonts w:hint="eastAsia" w:ascii="新宋体" w:hAnsi="新宋体" w:eastAsia="新宋体"/>
          <w:lang w:val="en-US" w:eastAsia="zh-CN"/>
        </w:rPr>
        <w:t>提供的</w:t>
      </w:r>
      <w:r>
        <w:rPr>
          <w:rFonts w:hint="eastAsia" w:ascii="新宋体" w:hAnsi="新宋体" w:eastAsia="新宋体"/>
        </w:rPr>
        <w:t>核心理念。面对全球性挑战（如气候变化、疫情、恐怖主义），中国主张各国命运休戚与共，应超越零和博弈，共建共享。通过发起“一带一路”倡议、全球发展倡议、全球安全倡议、全球文明倡议，中国为世界提供公共产品，展现负责任大国担当。</w:t>
      </w:r>
    </w:p>
    <w:p w14:paraId="6434A83A">
      <w:pPr>
        <w:rPr>
          <w:rFonts w:hint="eastAsia" w:ascii="新宋体" w:hAnsi="新宋体" w:eastAsia="新宋体"/>
        </w:rPr>
      </w:pPr>
    </w:p>
    <w:p w14:paraId="46A1C66E">
      <w:pPr>
        <w:rPr>
          <w:rFonts w:hint="eastAsia" w:ascii="新宋体" w:hAnsi="新宋体" w:eastAsia="新宋体" w:cs="Times New Roman"/>
          <w:b/>
          <w:bCs/>
          <w:sz w:val="24"/>
          <w:szCs w:val="24"/>
        </w:rPr>
      </w:pPr>
      <w:r>
        <w:rPr>
          <w:rFonts w:hint="eastAsia" w:ascii="新宋体" w:hAnsi="新宋体" w:eastAsia="新宋体" w:cs="Times New Roman"/>
          <w:b/>
          <w:bCs/>
          <w:sz w:val="24"/>
          <w:szCs w:val="24"/>
        </w:rPr>
        <w:t>（三）坚定维护多边主义与国际秩序</w:t>
      </w:r>
    </w:p>
    <w:p w14:paraId="5184E673">
      <w:pPr>
        <w:rPr>
          <w:rFonts w:hint="eastAsia" w:ascii="新宋体" w:hAnsi="新宋体" w:eastAsia="新宋体"/>
        </w:rPr>
      </w:pPr>
      <w:r>
        <w:rPr>
          <w:rFonts w:hint="eastAsia" w:ascii="新宋体" w:hAnsi="新宋体" w:eastAsia="新宋体"/>
        </w:rPr>
        <w:t>中国是联合国创始会员国和安理会常任理事国，始终支持以联合国为核心的国际体系。在WTO改革、气候变化《巴黎协定》、伊朗核问题等重大议题上，中国坚持规则导向，反对单边制裁和长臂管辖。同时，积极参与金砖国家、上合组织、东盟等多边机制，推动国际秩序朝着更加公正合理的方向发展。</w:t>
      </w:r>
    </w:p>
    <w:p w14:paraId="7430898C">
      <w:pPr>
        <w:rPr>
          <w:rFonts w:hint="eastAsia" w:ascii="新宋体" w:hAnsi="新宋体" w:eastAsia="新宋体"/>
        </w:rPr>
      </w:pPr>
    </w:p>
    <w:p w14:paraId="0A0FB59B">
      <w:pPr>
        <w:rPr>
          <w:rFonts w:hint="eastAsia" w:ascii="新宋体" w:hAnsi="新宋体" w:eastAsia="新宋体" w:cs="Times New Roman"/>
          <w:b/>
          <w:bCs/>
          <w:sz w:val="24"/>
          <w:szCs w:val="24"/>
        </w:rPr>
      </w:pPr>
      <w:r>
        <w:rPr>
          <w:rFonts w:hint="eastAsia" w:ascii="新宋体" w:hAnsi="新宋体" w:eastAsia="新宋体" w:cs="Times New Roman"/>
          <w:b/>
          <w:bCs/>
          <w:sz w:val="24"/>
          <w:szCs w:val="24"/>
        </w:rPr>
        <w:t>（四）统筹发展与安全，增强战略韧性</w:t>
      </w:r>
    </w:p>
    <w:p w14:paraId="7259EE45">
      <w:pPr>
        <w:rPr>
          <w:rFonts w:hint="eastAsia" w:ascii="新宋体" w:hAnsi="新宋体" w:eastAsia="新宋体"/>
        </w:rPr>
      </w:pPr>
      <w:r>
        <w:rPr>
          <w:rFonts w:hint="eastAsia" w:ascii="新宋体" w:hAnsi="新宋体" w:eastAsia="新宋体"/>
        </w:rPr>
        <w:t>中国将“总体国家安全观”融入外交实践，既重视传统安全（如领土、主权），也关注非传统安全（如粮食、能源、数据安全）。通过构建多元稳定的国际供应链、推进人民币国际化、加强海外利益保护等举措，提升应对外部冲击的能力。同时，以高水平对外开放促进国内国际双循环，增强经济“免疫力”。</w:t>
      </w:r>
    </w:p>
    <w:p w14:paraId="050C0FCC">
      <w:pPr>
        <w:rPr>
          <w:rFonts w:hint="eastAsia" w:ascii="新宋体" w:hAnsi="新宋体" w:eastAsia="新宋体"/>
        </w:rPr>
      </w:pPr>
    </w:p>
    <w:p w14:paraId="32D04B05">
      <w:pPr>
        <w:rPr>
          <w:rFonts w:hint="eastAsia" w:ascii="新宋体" w:hAnsi="新宋体" w:eastAsia="新宋体" w:cs="Times New Roman"/>
          <w:b/>
          <w:bCs/>
          <w:sz w:val="24"/>
          <w:szCs w:val="24"/>
        </w:rPr>
      </w:pPr>
      <w:r>
        <w:rPr>
          <w:rFonts w:hint="eastAsia" w:ascii="新宋体" w:hAnsi="新宋体" w:eastAsia="新宋体" w:cs="Times New Roman"/>
          <w:b/>
          <w:bCs/>
          <w:sz w:val="24"/>
          <w:szCs w:val="24"/>
        </w:rPr>
        <w:t>（五）讲好中国故事，增强国际话语权</w:t>
      </w:r>
    </w:p>
    <w:p w14:paraId="4F041D69">
      <w:pPr>
        <w:rPr>
          <w:rFonts w:hint="eastAsia" w:ascii="新宋体" w:hAnsi="新宋体" w:eastAsia="新宋体"/>
        </w:rPr>
      </w:pPr>
      <w:r>
        <w:rPr>
          <w:rFonts w:hint="eastAsia" w:ascii="新宋体" w:hAnsi="新宋体" w:eastAsia="新宋体"/>
        </w:rPr>
        <w:t>面对西方话语霸权，中国加强国际传播能力建设，用事实驳斥“中国威胁论”“债务陷阱论”等谬误。通过孔子学院、媒体合作、青年交流等方式，增进国际社会对中国的理解，营造客观友善的舆论环境，为外交定力提供软实力支撑。</w:t>
      </w:r>
    </w:p>
    <w:p w14:paraId="1A0536CC">
      <w:pPr>
        <w:rPr>
          <w:rFonts w:hint="eastAsia" w:ascii="新宋体" w:hAnsi="新宋体" w:eastAsia="新宋体"/>
        </w:rPr>
      </w:pPr>
    </w:p>
    <w:p w14:paraId="3C42192E">
      <w:pPr>
        <w:rPr>
          <w:rFonts w:hint="eastAsia" w:ascii="宋体" w:hAnsi="宋体" w:eastAsia="宋体" w:cs="宋体"/>
          <w:b/>
          <w:bCs/>
          <w:sz w:val="28"/>
          <w:szCs w:val="28"/>
        </w:rPr>
      </w:pPr>
      <w:r>
        <w:rPr>
          <w:rFonts w:hint="eastAsia" w:ascii="宋体" w:hAnsi="宋体" w:eastAsia="宋体" w:cs="宋体"/>
          <w:b/>
          <w:bCs/>
          <w:sz w:val="28"/>
          <w:szCs w:val="28"/>
        </w:rPr>
        <w:t>五、结语</w:t>
      </w:r>
    </w:p>
    <w:p w14:paraId="5D180BF3">
      <w:pPr>
        <w:rPr>
          <w:rFonts w:hint="eastAsia" w:ascii="新宋体" w:hAnsi="新宋体" w:eastAsia="新宋体"/>
        </w:rPr>
      </w:pPr>
      <w:r>
        <w:rPr>
          <w:rFonts w:hint="eastAsia" w:ascii="新宋体" w:hAnsi="新宋体" w:eastAsia="新宋体"/>
        </w:rPr>
        <w:t>百年变局既是挑战，更是机遇。中国之所以能在风高浪急的国际环境中保持战略定力，根本在于其深厚的历史底蕴、科学的理论指引、清晰的战略目标和强大的制度保障。这种定力不是封闭保守，而是开放包容中的坚定；不是消极避世，而是主动作为中的从容。</w:t>
      </w:r>
    </w:p>
    <w:p w14:paraId="3935A6B3">
      <w:pPr>
        <w:rPr>
          <w:rFonts w:hint="eastAsia" w:ascii="新宋体" w:hAnsi="新宋体" w:eastAsia="新宋体"/>
        </w:rPr>
      </w:pPr>
    </w:p>
    <w:p w14:paraId="052BF4A6">
      <w:pPr>
        <w:rPr>
          <w:rFonts w:ascii="新宋体" w:hAnsi="新宋体" w:eastAsia="新宋体"/>
        </w:rPr>
      </w:pPr>
      <w:r>
        <w:rPr>
          <w:rFonts w:hint="eastAsia" w:ascii="新宋体" w:hAnsi="新宋体" w:eastAsia="新宋体"/>
        </w:rPr>
        <w:t>展望未来，中国将继续以战略定力为舵，以和平发展为帆，以合作共赢为桨，在动荡变革的世界中行稳致远。正如习近平总书记所言：“时与势在我们一边。”只要坚持把自己的事情办好，坚定不移走中国特色大国外交之路，中国必将为人类和平与发展作出更大贡献，也为民族复兴筑牢外部根基。</w:t>
      </w:r>
    </w:p>
    <w:p w14:paraId="56FBAF1F">
      <w:pPr>
        <w:rPr>
          <w:rFonts w:ascii="新宋体" w:hAnsi="新宋体" w:eastAsia="新宋体"/>
        </w:rPr>
      </w:pPr>
    </w:p>
    <w:p w14:paraId="6F8AF52A">
      <w:pPr>
        <w:rPr>
          <w:rFonts w:ascii="新宋体" w:hAnsi="新宋体" w:eastAsia="新宋体"/>
        </w:rPr>
      </w:pPr>
    </w:p>
    <w:p w14:paraId="7A7EE386">
      <w:pPr>
        <w:rPr>
          <w:rFonts w:ascii="新宋体" w:hAnsi="新宋体" w:eastAsia="新宋体"/>
        </w:rPr>
      </w:pPr>
    </w:p>
    <w:p w14:paraId="7FD8DB36">
      <w:pPr>
        <w:rPr>
          <w:rFonts w:ascii="新宋体" w:hAnsi="新宋体" w:eastAsia="新宋体"/>
        </w:rPr>
      </w:pPr>
      <w:bookmarkStart w:id="0" w:name="_GoBack"/>
      <w:bookmarkEnd w:id="0"/>
    </w:p>
    <w:p w14:paraId="37351276">
      <w:pPr>
        <w:rPr>
          <w:rFonts w:ascii="新宋体" w:hAnsi="新宋体" w:eastAsia="新宋体"/>
        </w:rPr>
      </w:pPr>
    </w:p>
    <w:p w14:paraId="5979FB2B">
      <w:pPr>
        <w:rPr>
          <w:rFonts w:ascii="新宋体" w:hAnsi="新宋体" w:eastAsia="新宋体"/>
        </w:rPr>
      </w:pPr>
    </w:p>
    <w:p w14:paraId="3D82603C">
      <w:pPr>
        <w:rPr>
          <w:rFonts w:ascii="新宋体" w:hAnsi="新宋体" w:eastAsia="新宋体"/>
        </w:rPr>
      </w:pPr>
    </w:p>
    <w:p w14:paraId="4978F498">
      <w:pPr>
        <w:rPr>
          <w:rFonts w:ascii="新宋体" w:hAnsi="新宋体" w:eastAsia="新宋体"/>
        </w:rPr>
      </w:pPr>
    </w:p>
    <w:p w14:paraId="10CC9F37">
      <w:pPr>
        <w:rPr>
          <w:rFonts w:hint="eastAsia" w:ascii="新宋体" w:hAnsi="新宋体" w:eastAsia="新宋体"/>
        </w:rPr>
      </w:pPr>
    </w:p>
    <w:p w14:paraId="4E421ED3">
      <w:pPr>
        <w:rPr>
          <w:rFonts w:ascii="新宋体" w:hAnsi="新宋体" w:eastAsia="新宋体"/>
        </w:rPr>
      </w:pPr>
    </w:p>
    <w:p w14:paraId="3F204D17">
      <w:pPr>
        <w:rPr>
          <w:rFonts w:ascii="新宋体" w:hAnsi="新宋体" w:eastAsia="新宋体"/>
        </w:rPr>
      </w:pPr>
    </w:p>
    <w:p w14:paraId="31555C1D">
      <w:pPr>
        <w:rPr>
          <w:rFonts w:ascii="新宋体" w:hAnsi="新宋体" w:eastAsia="新宋体"/>
        </w:rPr>
      </w:pPr>
    </w:p>
    <w:p w14:paraId="58B2F22A">
      <w:pPr>
        <w:rPr>
          <w:rFonts w:ascii="新宋体" w:hAnsi="新宋体" w:eastAsia="新宋体"/>
        </w:rPr>
      </w:pPr>
    </w:p>
    <w:p w14:paraId="0088FE6D">
      <w:pPr>
        <w:rPr>
          <w:rFonts w:ascii="新宋体" w:hAnsi="新宋体" w:eastAsia="新宋体"/>
        </w:rPr>
      </w:pPr>
    </w:p>
    <w:p w14:paraId="16BE9943">
      <w:pPr>
        <w:rPr>
          <w:rFonts w:ascii="新宋体" w:hAnsi="新宋体" w:eastAsia="新宋体"/>
        </w:rPr>
      </w:pPr>
    </w:p>
    <w:p w14:paraId="4A1635DB">
      <w:pPr>
        <w:rPr>
          <w:rFonts w:ascii="新宋体" w:hAnsi="新宋体" w:eastAsia="新宋体"/>
        </w:rPr>
      </w:pPr>
    </w:p>
    <w:p w14:paraId="1E72D695">
      <w:pPr>
        <w:rPr>
          <w:rFonts w:hint="eastAsia" w:ascii="新宋体" w:hAnsi="新宋体" w:eastAsia="新宋体"/>
        </w:rPr>
      </w:pPr>
    </w:p>
    <w:p w14:paraId="60DF3159"/>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FE6D8">
    <w:pPr>
      <w:pStyle w:val="2"/>
      <w:jc w:val="center"/>
      <w:rPr>
        <w:rFonts w:hint="eastAsia"/>
        <w:sz w:val="21"/>
        <w:szCs w:val="21"/>
      </w:rPr>
    </w:pPr>
    <w:r>
      <w:rPr>
        <w:rFonts w:hint="eastAsia"/>
        <w:sz w:val="21"/>
        <w:szCs w:val="21"/>
      </w:rPr>
      <w:t>第</w:t>
    </w:r>
    <w:r>
      <w:rPr>
        <w:rStyle w:val="6"/>
        <w:sz w:val="21"/>
        <w:szCs w:val="21"/>
      </w:rPr>
      <w:fldChar w:fldCharType="begin"/>
    </w:r>
    <w:r>
      <w:rPr>
        <w:rStyle w:val="6"/>
        <w:sz w:val="21"/>
        <w:szCs w:val="21"/>
      </w:rPr>
      <w:instrText xml:space="preserve"> PAGE </w:instrText>
    </w:r>
    <w:r>
      <w:rPr>
        <w:rStyle w:val="6"/>
        <w:sz w:val="21"/>
        <w:szCs w:val="21"/>
      </w:rPr>
      <w:fldChar w:fldCharType="separate"/>
    </w:r>
    <w:r>
      <w:rPr>
        <w:rStyle w:val="6"/>
        <w:sz w:val="21"/>
        <w:szCs w:val="21"/>
      </w:rPr>
      <w:t>1</w:t>
    </w:r>
    <w:r>
      <w:rPr>
        <w:rStyle w:val="6"/>
        <w:sz w:val="21"/>
        <w:szCs w:val="21"/>
      </w:rPr>
      <w:fldChar w:fldCharType="end"/>
    </w:r>
    <w:r>
      <w:rPr>
        <w:rFonts w:hint="eastAsia"/>
        <w:sz w:val="21"/>
        <w:szCs w:val="21"/>
      </w:rPr>
      <w:t>页  共</w:t>
    </w:r>
    <w:r>
      <w:rPr>
        <w:rStyle w:val="6"/>
        <w:sz w:val="21"/>
        <w:szCs w:val="21"/>
      </w:rPr>
      <w:fldChar w:fldCharType="begin"/>
    </w:r>
    <w:r>
      <w:rPr>
        <w:rStyle w:val="6"/>
        <w:sz w:val="21"/>
        <w:szCs w:val="21"/>
      </w:rPr>
      <w:instrText xml:space="preserve"> NUMPAGES </w:instrText>
    </w:r>
    <w:r>
      <w:rPr>
        <w:rStyle w:val="6"/>
        <w:sz w:val="21"/>
        <w:szCs w:val="21"/>
      </w:rPr>
      <w:fldChar w:fldCharType="separate"/>
    </w:r>
    <w:r>
      <w:rPr>
        <w:rStyle w:val="6"/>
        <w:sz w:val="21"/>
        <w:szCs w:val="21"/>
      </w:rPr>
      <w:t>1</w:t>
    </w:r>
    <w:r>
      <w:rPr>
        <w:rStyle w:val="6"/>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C5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Subtitle"/>
    <w:basedOn w:val="1"/>
    <w:next w:val="1"/>
    <w:qFormat/>
    <w:uiPriority w:val="0"/>
    <w:pPr>
      <w:spacing w:before="240" w:after="60" w:line="312" w:lineRule="auto"/>
      <w:jc w:val="center"/>
      <w:outlineLvl w:val="1"/>
    </w:pPr>
    <w:rPr>
      <w:rFonts w:ascii="等线 Light" w:hAnsi="等线 Light" w:cs="Times New Roman"/>
      <w:b/>
      <w:bCs/>
      <w:kern w:val="28"/>
      <w:sz w:val="32"/>
      <w:szCs w:val="32"/>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2025-12-25T08:55:41Z</dcterms:created>
  <dc:creator>Mrkuz</dc:creator>
  <cp:lastModifiedBy>mika</cp:lastModifiedBy>
  <dcterms:modified xsi:type="dcterms:W3CDTF">2025-12-25T08:55:52Z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637DC9DE0BC64CE685F3897BC1589287_12</vt:lpwstr>
  </property>
</Properties>
</file>