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77468">
      <w:pPr>
        <w:jc w:val="center"/>
        <w:rPr>
          <w:rFonts w:hint="eastAsia"/>
          <w:sz w:val="44"/>
          <w:szCs w:val="44"/>
        </w:rPr>
      </w:pPr>
      <w:r>
        <w:rPr>
          <w:rFonts w:hint="eastAsia"/>
          <w:sz w:val="44"/>
          <w:szCs w:val="44"/>
        </w:rPr>
        <w:t>深圳技术大学考试答题纸</w:t>
      </w:r>
    </w:p>
    <w:p w14:paraId="032B0386">
      <w:pPr>
        <w:jc w:val="center"/>
        <w:rPr>
          <w:sz w:val="10"/>
          <w:szCs w:val="10"/>
        </w:rPr>
      </w:pPr>
      <w:r>
        <w:rPr>
          <w:rFonts w:hint="eastAsia"/>
          <w:sz w:val="24"/>
        </w:rPr>
        <w:t>(以论文、报告等形式考核专用)</w:t>
      </w:r>
      <w:r>
        <w:rPr>
          <w:sz w:val="24"/>
        </w:rPr>
        <w:br w:type="textWrapping"/>
      </w:r>
      <w:r>
        <w:rPr>
          <w:rFonts w:hint="eastAsia"/>
          <w:sz w:val="24"/>
        </w:rPr>
        <w:t>二○</w:t>
      </w:r>
      <w:r>
        <w:rPr>
          <w:rFonts w:hint="eastAsia"/>
          <w:sz w:val="24"/>
          <w:u w:val="single"/>
        </w:rPr>
        <w:t xml:space="preserve"> 二五     </w:t>
      </w:r>
      <w:r>
        <w:rPr>
          <w:rFonts w:hint="eastAsia"/>
          <w:sz w:val="24"/>
        </w:rPr>
        <w:t>～二○</w:t>
      </w:r>
      <w:r>
        <w:rPr>
          <w:rFonts w:hint="eastAsia"/>
          <w:sz w:val="24"/>
          <w:u w:val="single"/>
        </w:rPr>
        <w:t xml:space="preserve">  二六     </w:t>
      </w:r>
      <w:r>
        <w:rPr>
          <w:rFonts w:hint="eastAsia"/>
          <w:sz w:val="24"/>
        </w:rPr>
        <w:t xml:space="preserve">  学年度第</w:t>
      </w:r>
      <w:r>
        <w:rPr>
          <w:rFonts w:hint="eastAsia"/>
          <w:sz w:val="24"/>
          <w:u w:val="single"/>
        </w:rPr>
        <w:t xml:space="preserve"> </w:t>
      </w:r>
      <w:r>
        <w:rPr>
          <w:sz w:val="24"/>
          <w:u w:val="single"/>
        </w:rPr>
        <w:t xml:space="preserve"> </w:t>
      </w:r>
      <w:r>
        <w:rPr>
          <w:rFonts w:hint="eastAsia"/>
          <w:sz w:val="24"/>
          <w:u w:val="single"/>
        </w:rPr>
        <w:t xml:space="preserve">一   </w:t>
      </w:r>
      <w:r>
        <w:rPr>
          <w:rFonts w:hint="eastAsia"/>
          <w:sz w:val="24"/>
        </w:rPr>
        <w:t>学期</w:t>
      </w:r>
    </w:p>
    <w:tbl>
      <w:tblPr>
        <w:tblStyle w:val="6"/>
        <w:tblW w:w="9362" w:type="dxa"/>
        <w:jc w:val="center"/>
        <w:tblLayout w:type="fixed"/>
        <w:tblCellMar>
          <w:top w:w="0" w:type="dxa"/>
          <w:left w:w="108" w:type="dxa"/>
          <w:bottom w:w="0" w:type="dxa"/>
          <w:right w:w="108" w:type="dxa"/>
        </w:tblCellMar>
      </w:tblPr>
      <w:tblGrid>
        <w:gridCol w:w="1076"/>
        <w:gridCol w:w="79"/>
        <w:gridCol w:w="1080"/>
        <w:gridCol w:w="1021"/>
        <w:gridCol w:w="79"/>
        <w:gridCol w:w="1021"/>
        <w:gridCol w:w="1177"/>
        <w:gridCol w:w="363"/>
        <w:gridCol w:w="1080"/>
        <w:gridCol w:w="1090"/>
        <w:gridCol w:w="720"/>
        <w:gridCol w:w="576"/>
      </w:tblGrid>
      <w:tr w14:paraId="6E420D44">
        <w:tblPrEx>
          <w:tblCellMar>
            <w:top w:w="0" w:type="dxa"/>
            <w:left w:w="108" w:type="dxa"/>
            <w:bottom w:w="0" w:type="dxa"/>
            <w:right w:w="108" w:type="dxa"/>
          </w:tblCellMar>
        </w:tblPrEx>
        <w:trPr>
          <w:trHeight w:val="397" w:hRule="atLeast"/>
          <w:jc w:val="center"/>
        </w:trPr>
        <w:tc>
          <w:tcPr>
            <w:tcW w:w="1076" w:type="dxa"/>
            <w:noWrap w:val="0"/>
            <w:vAlign w:val="center"/>
          </w:tcPr>
          <w:p w14:paraId="38B8B38C">
            <w:pPr>
              <w:rPr>
                <w:rFonts w:hint="eastAsia" w:eastAsia="楷体_GB2312"/>
                <w:szCs w:val="21"/>
              </w:rPr>
            </w:pPr>
            <w:r>
              <w:rPr>
                <w:rFonts w:hint="eastAsia" w:eastAsia="楷体_GB2312"/>
                <w:szCs w:val="21"/>
              </w:rPr>
              <w:t>课程编号</w:t>
            </w:r>
          </w:p>
        </w:tc>
        <w:tc>
          <w:tcPr>
            <w:tcW w:w="1159" w:type="dxa"/>
            <w:gridSpan w:val="2"/>
            <w:tcBorders>
              <w:bottom w:val="single" w:color="auto" w:sz="4" w:space="0"/>
            </w:tcBorders>
            <w:noWrap w:val="0"/>
            <w:vAlign w:val="center"/>
          </w:tcPr>
          <w:p w14:paraId="5ADDF407">
            <w:pPr>
              <w:rPr>
                <w:rFonts w:hint="eastAsia" w:eastAsia="楷体_GB2312"/>
                <w:szCs w:val="21"/>
              </w:rPr>
            </w:pPr>
            <w:r>
              <w:rPr>
                <w:rFonts w:hint="eastAsia" w:eastAsia="楷体_GB2312"/>
                <w:szCs w:val="21"/>
              </w:rPr>
              <w:t>MA</w:t>
            </w:r>
            <w:r>
              <w:rPr>
                <w:rFonts w:eastAsia="楷体_GB2312"/>
                <w:szCs w:val="21"/>
              </w:rPr>
              <w:t>0000</w:t>
            </w:r>
            <w:r>
              <w:rPr>
                <w:rFonts w:hint="eastAsia" w:eastAsia="楷体_GB2312"/>
                <w:szCs w:val="21"/>
              </w:rPr>
              <w:t>3</w:t>
            </w:r>
          </w:p>
        </w:tc>
        <w:tc>
          <w:tcPr>
            <w:tcW w:w="1100" w:type="dxa"/>
            <w:gridSpan w:val="2"/>
            <w:noWrap w:val="0"/>
            <w:vAlign w:val="center"/>
          </w:tcPr>
          <w:p w14:paraId="252A9230">
            <w:pPr>
              <w:rPr>
                <w:rFonts w:hint="eastAsia" w:eastAsia="楷体_GB2312"/>
                <w:szCs w:val="21"/>
              </w:rPr>
            </w:pPr>
            <w:r>
              <w:rPr>
                <w:rFonts w:hint="eastAsia" w:eastAsia="楷体_GB2312"/>
                <w:szCs w:val="21"/>
              </w:rPr>
              <w:t>课程名称</w:t>
            </w:r>
          </w:p>
        </w:tc>
        <w:tc>
          <w:tcPr>
            <w:tcW w:w="2198" w:type="dxa"/>
            <w:gridSpan w:val="2"/>
            <w:tcBorders>
              <w:bottom w:val="single" w:color="auto" w:sz="4" w:space="0"/>
            </w:tcBorders>
            <w:noWrap w:val="0"/>
            <w:vAlign w:val="center"/>
          </w:tcPr>
          <w:p w14:paraId="37B5D52B">
            <w:pPr>
              <w:ind w:firstLine="210" w:firstLineChars="100"/>
              <w:rPr>
                <w:rFonts w:hint="eastAsia" w:eastAsia="楷体_GB2312"/>
                <w:szCs w:val="21"/>
              </w:rPr>
            </w:pPr>
            <w:r>
              <w:rPr>
                <w:rFonts w:hint="eastAsia" w:eastAsia="楷体_GB2312"/>
                <w:szCs w:val="21"/>
              </w:rPr>
              <w:t>形势与政策1</w:t>
            </w:r>
          </w:p>
        </w:tc>
        <w:tc>
          <w:tcPr>
            <w:tcW w:w="1443" w:type="dxa"/>
            <w:gridSpan w:val="2"/>
            <w:noWrap w:val="0"/>
            <w:vAlign w:val="center"/>
          </w:tcPr>
          <w:p w14:paraId="0A3AEF18">
            <w:pPr>
              <w:rPr>
                <w:rFonts w:hint="eastAsia" w:eastAsia="楷体_GB2312"/>
                <w:szCs w:val="21"/>
              </w:rPr>
            </w:pPr>
            <w:r>
              <w:rPr>
                <w:rFonts w:hint="eastAsia" w:eastAsia="楷体_GB2312"/>
                <w:szCs w:val="21"/>
              </w:rPr>
              <w:t xml:space="preserve">主讲教师 </w:t>
            </w:r>
          </w:p>
        </w:tc>
        <w:tc>
          <w:tcPr>
            <w:tcW w:w="1090" w:type="dxa"/>
            <w:tcBorders>
              <w:left w:val="nil"/>
              <w:bottom w:val="single" w:color="auto" w:sz="4" w:space="0"/>
            </w:tcBorders>
            <w:noWrap w:val="0"/>
            <w:vAlign w:val="center"/>
          </w:tcPr>
          <w:p w14:paraId="7791C6A3">
            <w:pPr>
              <w:spacing w:line="240" w:lineRule="exact"/>
              <w:rPr>
                <w:rFonts w:hint="eastAsia" w:eastAsia="楷体_GB2312"/>
                <w:szCs w:val="21"/>
              </w:rPr>
            </w:pPr>
            <w:r>
              <w:rPr>
                <w:rFonts w:hint="eastAsia" w:eastAsia="楷体_GB2312"/>
                <w:szCs w:val="21"/>
              </w:rPr>
              <w:t>“形势与政策”教研室全体教师</w:t>
            </w:r>
          </w:p>
        </w:tc>
        <w:tc>
          <w:tcPr>
            <w:tcW w:w="720" w:type="dxa"/>
            <w:noWrap w:val="0"/>
            <w:vAlign w:val="center"/>
          </w:tcPr>
          <w:p w14:paraId="500E35D5">
            <w:pPr>
              <w:rPr>
                <w:rFonts w:hint="eastAsia" w:eastAsia="楷体_GB2312"/>
                <w:szCs w:val="21"/>
              </w:rPr>
            </w:pPr>
            <w:r>
              <w:rPr>
                <w:rFonts w:hint="eastAsia" w:eastAsia="楷体_GB2312"/>
                <w:szCs w:val="21"/>
              </w:rPr>
              <w:t>评分</w:t>
            </w:r>
          </w:p>
        </w:tc>
        <w:tc>
          <w:tcPr>
            <w:tcW w:w="576" w:type="dxa"/>
            <w:tcBorders>
              <w:bottom w:val="single" w:color="auto" w:sz="4" w:space="0"/>
            </w:tcBorders>
            <w:noWrap w:val="0"/>
            <w:vAlign w:val="center"/>
          </w:tcPr>
          <w:p w14:paraId="5BE27A41">
            <w:pPr>
              <w:rPr>
                <w:rFonts w:hint="eastAsia" w:eastAsia="楷体_GB2312"/>
                <w:sz w:val="24"/>
              </w:rPr>
            </w:pPr>
          </w:p>
        </w:tc>
      </w:tr>
      <w:tr w14:paraId="7EC90B32">
        <w:tblPrEx>
          <w:tblCellMar>
            <w:top w:w="0" w:type="dxa"/>
            <w:left w:w="108" w:type="dxa"/>
            <w:bottom w:w="0" w:type="dxa"/>
            <w:right w:w="108" w:type="dxa"/>
          </w:tblCellMar>
        </w:tblPrEx>
        <w:trPr>
          <w:trHeight w:val="397" w:hRule="atLeast"/>
          <w:jc w:val="center"/>
        </w:trPr>
        <w:tc>
          <w:tcPr>
            <w:tcW w:w="1076" w:type="dxa"/>
            <w:noWrap w:val="0"/>
            <w:vAlign w:val="bottom"/>
          </w:tcPr>
          <w:p w14:paraId="75AA6538">
            <w:pPr>
              <w:rPr>
                <w:rFonts w:hint="eastAsia" w:eastAsia="楷体_GB2312"/>
                <w:szCs w:val="21"/>
              </w:rPr>
            </w:pPr>
            <w:r>
              <w:rPr>
                <w:rFonts w:hint="eastAsia" w:eastAsia="楷体_GB2312"/>
                <w:szCs w:val="21"/>
              </w:rPr>
              <w:t>学    号</w:t>
            </w:r>
          </w:p>
        </w:tc>
        <w:tc>
          <w:tcPr>
            <w:tcW w:w="1159" w:type="dxa"/>
            <w:gridSpan w:val="2"/>
            <w:tcBorders>
              <w:top w:val="single" w:color="auto" w:sz="4" w:space="0"/>
              <w:bottom w:val="single" w:color="auto" w:sz="4" w:space="0"/>
            </w:tcBorders>
            <w:noWrap w:val="0"/>
            <w:vAlign w:val="bottom"/>
          </w:tcPr>
          <w:p w14:paraId="69511721">
            <w:pPr>
              <w:rPr>
                <w:rFonts w:hint="default" w:eastAsia="楷体_GB2312"/>
                <w:szCs w:val="21"/>
                <w:lang w:val="en-US" w:eastAsia="zh-CN"/>
              </w:rPr>
            </w:pPr>
            <w:r>
              <w:rPr>
                <w:rFonts w:hint="eastAsia" w:eastAsia="楷体_GB2312"/>
                <w:szCs w:val="21"/>
                <w:lang w:val="en-US" w:eastAsia="zh-CN"/>
              </w:rPr>
              <w:t>202500401033</w:t>
            </w:r>
          </w:p>
        </w:tc>
        <w:tc>
          <w:tcPr>
            <w:tcW w:w="1021" w:type="dxa"/>
            <w:noWrap w:val="0"/>
            <w:vAlign w:val="bottom"/>
          </w:tcPr>
          <w:p w14:paraId="5DC011CC">
            <w:pPr>
              <w:jc w:val="right"/>
              <w:rPr>
                <w:rFonts w:hint="eastAsia" w:eastAsia="楷体_GB2312"/>
                <w:szCs w:val="21"/>
              </w:rPr>
            </w:pPr>
            <w:r>
              <w:rPr>
                <w:rFonts w:hint="eastAsia" w:eastAsia="楷体_GB2312"/>
                <w:szCs w:val="21"/>
              </w:rPr>
              <w:t>姓名</w:t>
            </w:r>
          </w:p>
        </w:tc>
        <w:tc>
          <w:tcPr>
            <w:tcW w:w="1100" w:type="dxa"/>
            <w:gridSpan w:val="2"/>
            <w:tcBorders>
              <w:bottom w:val="single" w:color="auto" w:sz="4" w:space="0"/>
            </w:tcBorders>
            <w:noWrap w:val="0"/>
            <w:vAlign w:val="bottom"/>
          </w:tcPr>
          <w:p w14:paraId="567DF104">
            <w:pPr>
              <w:rPr>
                <w:rFonts w:hint="eastAsia" w:eastAsia="楷体_GB2312"/>
                <w:szCs w:val="21"/>
                <w:lang w:val="en-US" w:eastAsia="zh-CN"/>
              </w:rPr>
            </w:pPr>
            <w:r>
              <w:rPr>
                <w:rFonts w:hint="eastAsia" w:eastAsia="楷体_GB2312"/>
                <w:szCs w:val="21"/>
                <w:lang w:val="en-US" w:eastAsia="zh-CN"/>
              </w:rPr>
              <w:t>王培锴</w:t>
            </w:r>
          </w:p>
        </w:tc>
        <w:tc>
          <w:tcPr>
            <w:tcW w:w="1540" w:type="dxa"/>
            <w:gridSpan w:val="2"/>
            <w:tcBorders>
              <w:left w:val="nil"/>
            </w:tcBorders>
            <w:noWrap w:val="0"/>
            <w:vAlign w:val="bottom"/>
          </w:tcPr>
          <w:p w14:paraId="59743FE6">
            <w:pPr>
              <w:rPr>
                <w:rFonts w:hint="eastAsia" w:eastAsia="楷体_GB2312"/>
                <w:szCs w:val="21"/>
              </w:rPr>
            </w:pPr>
            <w:r>
              <w:rPr>
                <w:rFonts w:hint="eastAsia" w:eastAsia="楷体_GB2312"/>
                <w:szCs w:val="21"/>
              </w:rPr>
              <w:t>专业年级</w:t>
            </w:r>
          </w:p>
        </w:tc>
        <w:tc>
          <w:tcPr>
            <w:tcW w:w="3466" w:type="dxa"/>
            <w:gridSpan w:val="4"/>
            <w:tcBorders>
              <w:bottom w:val="single" w:color="auto" w:sz="4" w:space="0"/>
            </w:tcBorders>
            <w:noWrap w:val="0"/>
            <w:vAlign w:val="bottom"/>
          </w:tcPr>
          <w:p w14:paraId="37A35CF4">
            <w:pPr>
              <w:rPr>
                <w:rFonts w:hint="default" w:eastAsia="楷体_GB2312"/>
                <w:szCs w:val="21"/>
                <w:lang w:val="en-US" w:eastAsia="zh-CN"/>
              </w:rPr>
            </w:pPr>
            <w:r>
              <w:rPr>
                <w:rFonts w:hint="eastAsia" w:eastAsia="楷体_GB2312"/>
                <w:szCs w:val="21"/>
                <w:lang w:val="en-US" w:eastAsia="zh-CN"/>
              </w:rPr>
              <w:t>交通运输专业25级别</w:t>
            </w:r>
            <w:bookmarkStart w:id="0" w:name="_GoBack"/>
            <w:bookmarkEnd w:id="0"/>
          </w:p>
        </w:tc>
      </w:tr>
      <w:tr w14:paraId="688FA21D">
        <w:tblPrEx>
          <w:tblCellMar>
            <w:top w:w="0" w:type="dxa"/>
            <w:left w:w="108" w:type="dxa"/>
            <w:bottom w:w="0" w:type="dxa"/>
            <w:right w:w="108" w:type="dxa"/>
          </w:tblCellMar>
        </w:tblPrEx>
        <w:trPr>
          <w:trHeight w:val="113" w:hRule="exact"/>
          <w:jc w:val="center"/>
        </w:trPr>
        <w:tc>
          <w:tcPr>
            <w:tcW w:w="9362" w:type="dxa"/>
            <w:gridSpan w:val="12"/>
            <w:tcBorders>
              <w:bottom w:val="single" w:color="auto" w:sz="4" w:space="0"/>
            </w:tcBorders>
            <w:noWrap w:val="0"/>
            <w:vAlign w:val="bottom"/>
          </w:tcPr>
          <w:p w14:paraId="74CFE020">
            <w:pPr>
              <w:rPr>
                <w:rFonts w:hint="eastAsia" w:eastAsia="楷体_GB2312"/>
                <w:szCs w:val="21"/>
              </w:rPr>
            </w:pPr>
          </w:p>
        </w:tc>
      </w:tr>
      <w:tr w14:paraId="1F38D50F">
        <w:tblPrEx>
          <w:tblCellMar>
            <w:top w:w="0" w:type="dxa"/>
            <w:left w:w="108" w:type="dxa"/>
            <w:bottom w:w="0" w:type="dxa"/>
            <w:right w:w="108" w:type="dxa"/>
          </w:tblCellMar>
        </w:tblPrEx>
        <w:trPr>
          <w:trHeight w:val="1395" w:hRule="atLeast"/>
          <w:jc w:val="center"/>
        </w:trPr>
        <w:tc>
          <w:tcPr>
            <w:tcW w:w="9362" w:type="dxa"/>
            <w:gridSpan w:val="12"/>
            <w:tcBorders>
              <w:top w:val="single" w:color="auto" w:sz="4" w:space="0"/>
              <w:left w:val="single" w:color="auto" w:sz="4" w:space="0"/>
              <w:right w:val="single" w:color="auto" w:sz="4" w:space="0"/>
            </w:tcBorders>
            <w:noWrap w:val="0"/>
            <w:vAlign w:val="top"/>
          </w:tcPr>
          <w:p w14:paraId="4FB5F4CE">
            <w:pPr>
              <w:jc w:val="center"/>
              <w:rPr>
                <w:rFonts w:eastAsia="楷体_GB2312"/>
                <w:szCs w:val="21"/>
              </w:rPr>
            </w:pPr>
            <w:r>
              <w:rPr>
                <w:rFonts w:hint="eastAsia" w:eastAsia="楷体_GB2312"/>
                <w:szCs w:val="21"/>
              </w:rPr>
              <w:t>论文要求</w:t>
            </w:r>
          </w:p>
          <w:p w14:paraId="110010FD">
            <w:pPr>
              <w:spacing w:line="440" w:lineRule="exact"/>
              <w:ind w:firstLine="480" w:firstLineChars="200"/>
              <w:rPr>
                <w:rFonts w:hint="eastAsia" w:ascii="楷体_GB2312" w:hAnsi="宋体" w:eastAsia="楷体_GB2312"/>
                <w:sz w:val="24"/>
              </w:rPr>
            </w:pPr>
            <w:r>
              <w:rPr>
                <w:rFonts w:hint="eastAsia" w:ascii="楷体_GB2312" w:hAnsi="宋体" w:eastAsia="楷体_GB2312"/>
                <w:sz w:val="24"/>
              </w:rPr>
              <w:t>当前，世界百年变局加速演进，人类社会走到新的十字路口。个别大国热衷于单边主义、保护主义，对国际规则和国际秩序造成严重冲击，但历史总会在曲折中前进。习近平总书记指出，我们要保持战略定力，主动塑造于我有利的外部环境，坚定不移办好自己的事，把各方面积极因素转化为发展实绩。这一重要论述启示我们，唯有增强战略定力，清晰认知国际国内形势，在更好应对外部环境变化中赢得战略主动，才能推动我国发展行稳致远。</w:t>
            </w:r>
          </w:p>
          <w:p w14:paraId="38EDD954">
            <w:pPr>
              <w:spacing w:line="440" w:lineRule="exact"/>
              <w:ind w:firstLine="482" w:firstLineChars="200"/>
              <w:rPr>
                <w:rFonts w:hint="eastAsia" w:ascii="楷体_GB2312" w:hAnsi="宋体" w:eastAsia="楷体_GB2312"/>
                <w:b/>
                <w:bCs/>
                <w:sz w:val="24"/>
              </w:rPr>
            </w:pPr>
          </w:p>
          <w:p w14:paraId="722DCBEE">
            <w:pPr>
              <w:spacing w:line="440" w:lineRule="exact"/>
              <w:ind w:firstLine="482" w:firstLineChars="200"/>
              <w:rPr>
                <w:rFonts w:ascii="楷体_GB2312" w:hAnsi="宋体" w:eastAsia="楷体_GB2312"/>
                <w:b/>
                <w:bCs/>
                <w:sz w:val="24"/>
              </w:rPr>
            </w:pPr>
            <w:r>
              <w:rPr>
                <w:rFonts w:hint="eastAsia" w:ascii="楷体_GB2312" w:hAnsi="宋体" w:eastAsia="楷体_GB2312"/>
                <w:b/>
                <w:bCs/>
                <w:sz w:val="24"/>
              </w:rPr>
              <w:t>要求：</w:t>
            </w:r>
          </w:p>
          <w:p w14:paraId="724004BE">
            <w:pPr>
              <w:spacing w:line="440" w:lineRule="exact"/>
              <w:ind w:firstLine="480" w:firstLineChars="200"/>
              <w:rPr>
                <w:rFonts w:hint="eastAsia" w:ascii="楷体_GB2312" w:hAnsi="宋体" w:eastAsia="楷体_GB2312"/>
                <w:sz w:val="24"/>
              </w:rPr>
            </w:pPr>
            <w:r>
              <w:rPr>
                <w:rFonts w:hint="eastAsia" w:ascii="楷体_GB2312" w:hAnsi="宋体" w:eastAsia="楷体_GB2312"/>
                <w:sz w:val="24"/>
              </w:rPr>
              <w:t>（1）字数不低于2500字；</w:t>
            </w:r>
          </w:p>
          <w:p w14:paraId="4F905ABF">
            <w:pPr>
              <w:spacing w:line="440" w:lineRule="exact"/>
              <w:ind w:firstLine="480" w:firstLineChars="200"/>
              <w:rPr>
                <w:rFonts w:hint="eastAsia" w:ascii="楷体_GB2312" w:hAnsi="宋体" w:eastAsia="楷体_GB2312"/>
                <w:sz w:val="24"/>
              </w:rPr>
            </w:pPr>
            <w:r>
              <w:rPr>
                <w:rFonts w:hint="eastAsia" w:ascii="楷体_GB2312" w:hAnsi="宋体" w:eastAsia="楷体_GB2312"/>
                <w:sz w:val="24"/>
              </w:rPr>
              <w:t>（2）截止时间为2026年1月4日；</w:t>
            </w:r>
          </w:p>
          <w:p w14:paraId="467CD1A3">
            <w:pPr>
              <w:spacing w:line="440" w:lineRule="exact"/>
              <w:ind w:firstLine="480" w:firstLineChars="200"/>
              <w:rPr>
                <w:rFonts w:hint="eastAsia" w:ascii="楷体_GB2312" w:hAnsi="宋体" w:eastAsia="楷体_GB2312"/>
                <w:sz w:val="24"/>
              </w:rPr>
            </w:pPr>
            <w:r>
              <w:rPr>
                <w:rFonts w:hint="eastAsia" w:ascii="楷体_GB2312" w:hAnsi="宋体" w:eastAsia="楷体_GB2312"/>
                <w:sz w:val="24"/>
              </w:rPr>
              <w:t>（3）需要提交查重报告（自行选择查重工具，推荐使用知网查重），查重报告若有多份，提供1份即可；</w:t>
            </w:r>
          </w:p>
          <w:p w14:paraId="3FC1EA49">
            <w:pPr>
              <w:spacing w:line="440" w:lineRule="exact"/>
              <w:ind w:firstLine="480" w:firstLineChars="200"/>
              <w:rPr>
                <w:rFonts w:hint="eastAsia" w:eastAsia="楷体_GB2312"/>
                <w:szCs w:val="21"/>
              </w:rPr>
            </w:pPr>
            <w:r>
              <w:rPr>
                <w:rFonts w:hint="eastAsia" w:ascii="楷体_GB2312" w:hAnsi="宋体" w:eastAsia="楷体_GB2312"/>
                <w:sz w:val="24"/>
              </w:rPr>
              <w:t>（4）坚持原创，重复率不得高于20%。</w:t>
            </w:r>
          </w:p>
        </w:tc>
      </w:tr>
      <w:tr w14:paraId="73AD777B">
        <w:tblPrEx>
          <w:tblCellMar>
            <w:top w:w="0" w:type="dxa"/>
            <w:left w:w="108" w:type="dxa"/>
            <w:bottom w:w="0" w:type="dxa"/>
            <w:right w:w="108" w:type="dxa"/>
          </w:tblCellMar>
        </w:tblPrEx>
        <w:trPr>
          <w:trHeight w:val="765" w:hRule="atLeast"/>
          <w:jc w:val="center"/>
        </w:trPr>
        <w:tc>
          <w:tcPr>
            <w:tcW w:w="1155" w:type="dxa"/>
            <w:gridSpan w:val="2"/>
            <w:tcBorders>
              <w:top w:val="single" w:color="auto" w:sz="4" w:space="0"/>
            </w:tcBorders>
            <w:noWrap w:val="0"/>
            <w:vAlign w:val="center"/>
          </w:tcPr>
          <w:p w14:paraId="65E0472A">
            <w:pPr>
              <w:pStyle w:val="5"/>
              <w:rPr>
                <w:rFonts w:hint="eastAsia"/>
                <w:sz w:val="24"/>
                <w:szCs w:val="24"/>
              </w:rPr>
            </w:pPr>
            <w:r>
              <w:rPr>
                <w:rFonts w:hint="eastAsia"/>
                <w:sz w:val="24"/>
                <w:szCs w:val="24"/>
              </w:rPr>
              <w:t>题目：</w:t>
            </w:r>
          </w:p>
        </w:tc>
        <w:tc>
          <w:tcPr>
            <w:tcW w:w="6911" w:type="dxa"/>
            <w:gridSpan w:val="8"/>
            <w:tcBorders>
              <w:top w:val="single" w:color="auto" w:sz="4" w:space="0"/>
              <w:bottom w:val="single" w:color="auto" w:sz="4" w:space="0"/>
            </w:tcBorders>
            <w:noWrap w:val="0"/>
            <w:vAlign w:val="center"/>
          </w:tcPr>
          <w:p w14:paraId="2F4D50CB">
            <w:pPr>
              <w:pStyle w:val="5"/>
              <w:rPr>
                <w:rFonts w:hint="eastAsia" w:ascii="新宋体" w:hAnsi="新宋体" w:eastAsia="新宋体"/>
                <w:sz w:val="24"/>
                <w:szCs w:val="24"/>
              </w:rPr>
            </w:pPr>
            <w:r>
              <w:rPr>
                <w:rFonts w:hint="eastAsia" w:ascii="新宋体" w:hAnsi="新宋体" w:eastAsia="新宋体"/>
                <w:sz w:val="24"/>
                <w:szCs w:val="24"/>
              </w:rPr>
              <w:t>《百年变局下中国对外政策保持战略定力的深层缘由与实践路径研究》</w:t>
            </w:r>
          </w:p>
        </w:tc>
        <w:tc>
          <w:tcPr>
            <w:tcW w:w="1296" w:type="dxa"/>
            <w:gridSpan w:val="2"/>
            <w:tcBorders>
              <w:top w:val="single" w:color="auto" w:sz="4" w:space="0"/>
            </w:tcBorders>
            <w:noWrap w:val="0"/>
            <w:vAlign w:val="center"/>
          </w:tcPr>
          <w:p w14:paraId="21140F74">
            <w:pPr>
              <w:pStyle w:val="5"/>
              <w:jc w:val="both"/>
              <w:rPr>
                <w:rFonts w:hint="eastAsia"/>
                <w:sz w:val="24"/>
                <w:szCs w:val="24"/>
              </w:rPr>
            </w:pPr>
          </w:p>
        </w:tc>
      </w:tr>
    </w:tbl>
    <w:p w14:paraId="1E45E9D3">
      <w:pPr>
        <w:rPr>
          <w:rFonts w:ascii="新宋体" w:hAnsi="新宋体" w:eastAsia="新宋体"/>
        </w:rPr>
      </w:pPr>
    </w:p>
    <w:p w14:paraId="0405D182">
      <w:pPr>
        <w:rPr>
          <w:rFonts w:ascii="新宋体" w:hAnsi="新宋体" w:eastAsia="新宋体"/>
        </w:rPr>
      </w:pPr>
    </w:p>
    <w:p w14:paraId="39BA4B7F">
      <w:pPr>
        <w:rPr>
          <w:rFonts w:ascii="新宋体" w:hAnsi="新宋体" w:eastAsia="新宋体"/>
        </w:rPr>
      </w:pPr>
    </w:p>
    <w:p w14:paraId="78875AE0">
      <w:pPr>
        <w:keepNext w:val="0"/>
        <w:keepLines w:val="0"/>
        <w:widowControl/>
        <w:suppressLineNumbers w:val="0"/>
        <w:jc w:val="left"/>
        <w:rPr>
          <w:rFonts w:ascii="宋体" w:hAnsi="宋体" w:eastAsia="宋体" w:cs="宋体"/>
          <w:kern w:val="0"/>
          <w:sz w:val="24"/>
          <w:szCs w:val="24"/>
          <w:lang w:val="en-US" w:eastAsia="zh-CN" w:bidi="ar"/>
        </w:rPr>
      </w:pPr>
    </w:p>
    <w:p w14:paraId="06CC2C6F">
      <w:pPr>
        <w:keepNext w:val="0"/>
        <w:keepLines w:val="0"/>
        <w:widowControl/>
        <w:suppressLineNumbers w:val="0"/>
        <w:jc w:val="left"/>
        <w:rPr>
          <w:rFonts w:ascii="宋体" w:hAnsi="宋体" w:eastAsia="宋体" w:cs="宋体"/>
          <w:kern w:val="0"/>
          <w:sz w:val="24"/>
          <w:szCs w:val="24"/>
          <w:lang w:val="en-US" w:eastAsia="zh-CN" w:bidi="ar"/>
        </w:rPr>
      </w:pPr>
    </w:p>
    <w:p w14:paraId="577CDA05">
      <w:pPr>
        <w:keepNext w:val="0"/>
        <w:keepLines w:val="0"/>
        <w:widowControl/>
        <w:suppressLineNumbers w:val="0"/>
        <w:jc w:val="left"/>
        <w:rPr>
          <w:rFonts w:ascii="宋体" w:hAnsi="宋体" w:eastAsia="宋体" w:cs="宋体"/>
          <w:kern w:val="0"/>
          <w:sz w:val="24"/>
          <w:szCs w:val="24"/>
          <w:lang w:val="en-US" w:eastAsia="zh-CN" w:bidi="ar"/>
        </w:rPr>
      </w:pPr>
    </w:p>
    <w:p w14:paraId="580D4A50">
      <w:pPr>
        <w:keepNext w:val="0"/>
        <w:keepLines w:val="0"/>
        <w:widowControl/>
        <w:suppressLineNumbers w:val="0"/>
        <w:jc w:val="left"/>
        <w:rPr>
          <w:rFonts w:ascii="宋体" w:hAnsi="宋体" w:eastAsia="宋体" w:cs="宋体"/>
          <w:kern w:val="0"/>
          <w:sz w:val="24"/>
          <w:szCs w:val="24"/>
          <w:lang w:val="en-US" w:eastAsia="zh-CN" w:bidi="ar"/>
        </w:rPr>
      </w:pPr>
    </w:p>
    <w:p w14:paraId="45587147">
      <w:pPr>
        <w:keepNext w:val="0"/>
        <w:keepLines w:val="0"/>
        <w:widowControl/>
        <w:suppressLineNumbers w:val="0"/>
        <w:jc w:val="left"/>
        <w:rPr>
          <w:rFonts w:ascii="宋体" w:hAnsi="宋体" w:eastAsia="宋体" w:cs="宋体"/>
          <w:kern w:val="0"/>
          <w:sz w:val="24"/>
          <w:szCs w:val="24"/>
          <w:lang w:val="en-US" w:eastAsia="zh-CN" w:bidi="ar"/>
        </w:rPr>
      </w:pPr>
    </w:p>
    <w:p w14:paraId="2CAF0352">
      <w:pPr>
        <w:keepNext w:val="0"/>
        <w:keepLines w:val="0"/>
        <w:widowControl/>
        <w:suppressLineNumbers w:val="0"/>
        <w:jc w:val="left"/>
        <w:rPr>
          <w:rFonts w:ascii="宋体" w:hAnsi="宋体" w:eastAsia="宋体" w:cs="宋体"/>
          <w:kern w:val="0"/>
          <w:sz w:val="24"/>
          <w:szCs w:val="24"/>
          <w:lang w:val="en-US" w:eastAsia="zh-CN" w:bidi="ar"/>
        </w:rPr>
      </w:pPr>
    </w:p>
    <w:p w14:paraId="69AE0C75">
      <w:pPr>
        <w:keepNext w:val="0"/>
        <w:keepLines w:val="0"/>
        <w:widowControl/>
        <w:suppressLineNumbers w:val="0"/>
        <w:jc w:val="left"/>
        <w:rPr>
          <w:rFonts w:ascii="宋体" w:hAnsi="宋体" w:eastAsia="宋体" w:cs="宋体"/>
          <w:kern w:val="0"/>
          <w:sz w:val="24"/>
          <w:szCs w:val="24"/>
          <w:lang w:val="en-US" w:eastAsia="zh-CN" w:bidi="ar"/>
        </w:rPr>
      </w:pPr>
    </w:p>
    <w:p w14:paraId="5EFDE9E0">
      <w:pPr>
        <w:keepNext w:val="0"/>
        <w:keepLines w:val="0"/>
        <w:widowControl/>
        <w:suppressLineNumbers w:val="0"/>
        <w:jc w:val="left"/>
        <w:rPr>
          <w:rFonts w:ascii="宋体" w:hAnsi="宋体" w:eastAsia="宋体" w:cs="宋体"/>
          <w:kern w:val="0"/>
          <w:sz w:val="24"/>
          <w:szCs w:val="24"/>
          <w:lang w:val="en-US" w:eastAsia="zh-CN" w:bidi="ar"/>
        </w:rPr>
      </w:pPr>
    </w:p>
    <w:p w14:paraId="1AF9D928">
      <w:pPr>
        <w:keepNext w:val="0"/>
        <w:keepLines w:val="0"/>
        <w:widowControl/>
        <w:suppressLineNumbers w:val="0"/>
        <w:jc w:val="left"/>
        <w:rPr>
          <w:rFonts w:ascii="宋体" w:hAnsi="宋体" w:eastAsia="宋体" w:cs="宋体"/>
          <w:kern w:val="0"/>
          <w:sz w:val="24"/>
          <w:szCs w:val="24"/>
          <w:lang w:val="en-US" w:eastAsia="zh-CN" w:bidi="ar"/>
        </w:rPr>
      </w:pPr>
    </w:p>
    <w:p w14:paraId="00F985F0">
      <w:pPr>
        <w:keepNext w:val="0"/>
        <w:keepLines w:val="0"/>
        <w:widowControl/>
        <w:suppressLineNumbers w:val="0"/>
        <w:jc w:val="left"/>
        <w:rPr>
          <w:rFonts w:ascii="宋体" w:hAnsi="宋体" w:eastAsia="宋体" w:cs="宋体"/>
          <w:kern w:val="0"/>
          <w:sz w:val="24"/>
          <w:szCs w:val="24"/>
          <w:lang w:val="en-US" w:eastAsia="zh-CN" w:bidi="ar"/>
        </w:rPr>
      </w:pPr>
    </w:p>
    <w:p w14:paraId="727CD808">
      <w:pPr>
        <w:keepNext w:val="0"/>
        <w:keepLines w:val="0"/>
        <w:widowControl/>
        <w:suppressLineNumbers w:val="0"/>
        <w:jc w:val="left"/>
        <w:rPr>
          <w:rFonts w:ascii="宋体" w:hAnsi="宋体" w:eastAsia="宋体" w:cs="宋体"/>
          <w:kern w:val="0"/>
          <w:sz w:val="24"/>
          <w:szCs w:val="24"/>
          <w:lang w:val="en-US" w:eastAsia="zh-CN" w:bidi="ar"/>
        </w:rPr>
      </w:pPr>
    </w:p>
    <w:p w14:paraId="7D774E60">
      <w:pPr>
        <w:keepNext w:val="0"/>
        <w:keepLines w:val="0"/>
        <w:widowControl/>
        <w:suppressLineNumbers w:val="0"/>
        <w:jc w:val="left"/>
        <w:rPr>
          <w:rFonts w:ascii="宋体" w:hAnsi="宋体" w:eastAsia="宋体" w:cs="宋体"/>
          <w:kern w:val="0"/>
          <w:sz w:val="24"/>
          <w:szCs w:val="24"/>
          <w:lang w:val="en-US" w:eastAsia="zh-CN" w:bidi="ar"/>
        </w:rPr>
      </w:pPr>
    </w:p>
    <w:p w14:paraId="525E3970">
      <w:pPr>
        <w:keepNext w:val="0"/>
        <w:keepLines w:val="0"/>
        <w:widowControl/>
        <w:suppressLineNumbers w:val="0"/>
        <w:jc w:val="center"/>
        <w:rPr>
          <w:rFonts w:ascii="宋体" w:hAnsi="宋体" w:eastAsia="宋体" w:cs="宋体"/>
          <w:b/>
          <w:bCs/>
          <w:kern w:val="0"/>
          <w:sz w:val="24"/>
          <w:szCs w:val="24"/>
          <w:lang w:val="en-US" w:eastAsia="zh-CN" w:bidi="ar"/>
        </w:rPr>
      </w:pPr>
      <w:r>
        <w:rPr>
          <w:rFonts w:ascii="宋体" w:hAnsi="宋体" w:eastAsia="宋体" w:cs="宋体"/>
          <w:b/>
          <w:bCs/>
          <w:kern w:val="0"/>
          <w:sz w:val="24"/>
          <w:szCs w:val="24"/>
          <w:lang w:val="en-US" w:eastAsia="zh-CN" w:bidi="ar"/>
        </w:rPr>
        <w:t>摘要</w:t>
      </w:r>
    </w:p>
    <w:p w14:paraId="4E013DFE">
      <w:pPr>
        <w:keepNext w:val="0"/>
        <w:keepLines w:val="0"/>
        <w:widowControl/>
        <w:suppressLineNumbers w:val="0"/>
        <w:jc w:val="left"/>
      </w:pPr>
      <w:r>
        <w:rPr>
          <w:rFonts w:ascii="宋体" w:hAnsi="宋体" w:eastAsia="宋体" w:cs="宋体"/>
          <w:sz w:val="24"/>
          <w:szCs w:val="24"/>
        </w:rPr>
        <w:t>在全球秩序重构与单边主义逆流交织的宏大背景下，人类文明的演进路径正处于深度调整的十字路口 。新时代中国外交政策的逻辑基石，在于深刻领悟“战略定力”与“内部发展韧性”的辩证关系 。这种基于长远视角而确立的决策导向，不仅是应对国际动荡的避风港，更是指引中国特色大国外交行稳致远的底层思维 。</w:t>
      </w:r>
      <w:r>
        <w:rPr>
          <w:rFonts w:ascii="宋体" w:hAnsi="宋体" w:eastAsia="宋体" w:cs="宋体"/>
          <w:kern w:val="0"/>
          <w:sz w:val="24"/>
          <w:szCs w:val="24"/>
          <w:lang w:val="en-US" w:eastAsia="zh-CN" w:bidi="ar"/>
        </w:rPr>
        <w:t>本文立足百年变局语境，界定对外政策战略定力的核心内涵，从历史、现实、文明三重逻辑剖析保持战略定力的深层缘由，结合外交实践提出实践路径，为中国在变局中赢得战略主动提供理论参考。</w:t>
      </w:r>
    </w:p>
    <w:p w14:paraId="7154F5F9">
      <w:pPr>
        <w:keepNext w:val="0"/>
        <w:keepLines w:val="0"/>
        <w:widowControl/>
        <w:suppressLineNumbers w:val="0"/>
        <w:jc w:val="left"/>
      </w:pPr>
      <w:r>
        <w:rPr>
          <w:rFonts w:ascii="宋体" w:hAnsi="宋体" w:eastAsia="宋体" w:cs="宋体"/>
          <w:b/>
          <w:bCs/>
          <w:kern w:val="0"/>
          <w:sz w:val="24"/>
          <w:szCs w:val="24"/>
          <w:lang w:val="en-US" w:eastAsia="zh-CN" w:bidi="ar"/>
        </w:rPr>
        <w:t>关键词：</w:t>
      </w:r>
      <w:r>
        <w:rPr>
          <w:rFonts w:ascii="宋体" w:hAnsi="宋体" w:eastAsia="宋体" w:cs="宋体"/>
          <w:kern w:val="0"/>
          <w:sz w:val="24"/>
          <w:szCs w:val="24"/>
          <w:lang w:val="en-US" w:eastAsia="zh-CN" w:bidi="ar"/>
        </w:rPr>
        <w:t>百年变局；中国对外政策；战略定力；深层缘由；实践路径</w:t>
      </w:r>
    </w:p>
    <w:p w14:paraId="7CAF9F80">
      <w:pPr>
        <w:pStyle w:val="2"/>
        <w:keepNext w:val="0"/>
        <w:keepLines w:val="0"/>
        <w:widowControl/>
        <w:suppressLineNumbers w:val="0"/>
        <w:rPr>
          <w:sz w:val="28"/>
          <w:szCs w:val="28"/>
        </w:rPr>
      </w:pPr>
      <w:r>
        <w:rPr>
          <w:sz w:val="28"/>
          <w:szCs w:val="28"/>
        </w:rPr>
        <w:t>一、引言</w:t>
      </w:r>
    </w:p>
    <w:p w14:paraId="6454802C">
      <w:pPr>
        <w:keepNext w:val="0"/>
        <w:keepLines w:val="0"/>
        <w:widowControl/>
        <w:suppressLineNumbers w:val="0"/>
        <w:jc w:val="left"/>
      </w:pPr>
      <w:r>
        <w:rPr>
          <w:rFonts w:ascii="宋体" w:hAnsi="宋体" w:eastAsia="宋体" w:cs="宋体"/>
          <w:kern w:val="0"/>
          <w:sz w:val="24"/>
          <w:szCs w:val="24"/>
          <w:lang w:val="en-US" w:eastAsia="zh-CN" w:bidi="ar"/>
        </w:rPr>
        <w:t>“世界正面临百年未有之大变局”的重大判断，不断被国际格局演变印证。当前，全球政治多极化与大国博弈并存，经济范式深度调整，全球治理体系陷入困境，个别大国推行保护主义、破坏产业链稳定，冲击国际体系与秩序，人类社会发展方向充满不确定性。</w:t>
      </w:r>
    </w:p>
    <w:p w14:paraId="37B4EFE5">
      <w:pPr>
        <w:keepNext w:val="0"/>
        <w:keepLines w:val="0"/>
        <w:widowControl/>
        <w:suppressLineNumbers w:val="0"/>
        <w:jc w:val="left"/>
      </w:pPr>
      <w:r>
        <w:rPr>
          <w:rFonts w:ascii="宋体" w:hAnsi="宋体" w:eastAsia="宋体" w:cs="宋体"/>
          <w:kern w:val="0"/>
          <w:sz w:val="24"/>
          <w:szCs w:val="24"/>
          <w:lang w:val="en-US" w:eastAsia="zh-CN" w:bidi="ar"/>
        </w:rPr>
        <w:t>面对复杂国际环境，习近平总书记关于保持战略定力的重要论述，揭示了大国发展规律，为对外政策指明方向。战略定力是中国特色大国外交的精神动力，唯有坚守并转化为实践，才能为中国式现代化营造有利外部环境，为构建人类命运共同体贡献力量。</w:t>
      </w:r>
    </w:p>
    <w:p w14:paraId="529AAA36">
      <w:pPr>
        <w:keepNext w:val="0"/>
        <w:keepLines w:val="0"/>
        <w:widowControl/>
        <w:suppressLineNumbers w:val="0"/>
        <w:jc w:val="left"/>
      </w:pPr>
      <w:r>
        <w:rPr>
          <w:rFonts w:ascii="宋体" w:hAnsi="宋体" w:eastAsia="宋体" w:cs="宋体"/>
          <w:kern w:val="0"/>
          <w:sz w:val="24"/>
          <w:szCs w:val="24"/>
          <w:lang w:val="en-US" w:eastAsia="zh-CN" w:bidi="ar"/>
        </w:rPr>
        <w:t>本文聚焦核心议题，厘清战略定力内涵，剖析深层缘由，探索实践路径，深化对新时代中国特色大国外交的认识，为应对变局、实现民族复兴提供支撑。</w:t>
      </w:r>
    </w:p>
    <w:p w14:paraId="178BBF59">
      <w:pPr>
        <w:pStyle w:val="2"/>
        <w:keepNext w:val="0"/>
        <w:keepLines w:val="0"/>
        <w:widowControl/>
        <w:suppressLineNumbers w:val="0"/>
      </w:pPr>
      <w:r>
        <w:rPr>
          <w:sz w:val="28"/>
          <w:szCs w:val="28"/>
        </w:rPr>
        <w:t>二、核心概念界定：对外政策中的战略定力</w:t>
      </w:r>
    </w:p>
    <w:p w14:paraId="1054F278">
      <w:pPr>
        <w:keepNext w:val="0"/>
        <w:keepLines w:val="0"/>
        <w:widowControl/>
        <w:suppressLineNumbers w:val="0"/>
        <w:jc w:val="left"/>
      </w:pPr>
      <w:r>
        <w:rPr>
          <w:rFonts w:ascii="宋体" w:hAnsi="宋体" w:eastAsia="宋体" w:cs="宋体"/>
          <w:sz w:val="24"/>
          <w:szCs w:val="24"/>
        </w:rPr>
        <w:t>所谓战略定力，实质上是大国在动态博弈中展现出的“战略韧性”。它不仅是心理层面的沉稳，更是决策系统在受到外部高频震荡冲击时，依然能依据既定的国家利益中枢进行资源调优与目标锁定。这种定力表现为一种“动态平衡”，即在维护核心原则的不变性与应对战术变化的灵活性之间找到最优解 。</w:t>
      </w:r>
      <w:r>
        <w:rPr>
          <w:rFonts w:ascii="宋体" w:hAnsi="宋体" w:eastAsia="宋体" w:cs="宋体"/>
          <w:kern w:val="0"/>
          <w:sz w:val="24"/>
          <w:szCs w:val="24"/>
          <w:lang w:val="en-US" w:eastAsia="zh-CN" w:bidi="ar"/>
        </w:rPr>
        <w:t>不为短期因素所扰的稳定心态与行动，具有鲜明时代内涵。</w:t>
      </w:r>
    </w:p>
    <w:p w14:paraId="08B85A15">
      <w:pPr>
        <w:keepNext w:val="0"/>
        <w:keepLines w:val="0"/>
        <w:widowControl/>
        <w:suppressLineNumbers w:val="0"/>
        <w:jc w:val="left"/>
      </w:pPr>
      <w:r>
        <w:rPr>
          <w:rFonts w:ascii="宋体" w:hAnsi="宋体" w:eastAsia="宋体" w:cs="宋体"/>
          <w:kern w:val="0"/>
          <w:sz w:val="24"/>
          <w:szCs w:val="24"/>
          <w:lang w:val="en-US" w:eastAsia="zh-CN" w:bidi="ar"/>
        </w:rPr>
        <w:t>其核心要义体现为三方面：一是“坚守初心”，坚持独立自主和平外交政策，维护核心利益，推进人类命运共同体建设；二是“审时度势”，辩证认知国内外形势，把握变局趋势，分清机遇挑战；三是“稳中求进”，循序渐进推进外交实践，在稳定中合作、协作中化解分歧。</w:t>
      </w:r>
    </w:p>
    <w:p w14:paraId="0524FE2A">
      <w:pPr>
        <w:keepNext w:val="0"/>
        <w:keepLines w:val="0"/>
        <w:widowControl/>
        <w:suppressLineNumbers w:val="0"/>
        <w:jc w:val="left"/>
      </w:pPr>
      <w:r>
        <w:rPr>
          <w:rFonts w:ascii="宋体" w:hAnsi="宋体" w:eastAsia="宋体" w:cs="宋体"/>
          <w:kern w:val="0"/>
          <w:sz w:val="24"/>
          <w:szCs w:val="24"/>
          <w:lang w:val="en-US" w:eastAsia="zh-CN" w:bidi="ar"/>
        </w:rPr>
        <w:t>需明确的是，战略定力并非消极守成，而是坚守与塑造的统一。习近平主席关于中俄战略协作“以确定性应对不确定性”的论述，正是战略定力的生动实践。</w:t>
      </w:r>
    </w:p>
    <w:p w14:paraId="628CA3C8">
      <w:pPr>
        <w:pStyle w:val="2"/>
        <w:keepNext w:val="0"/>
        <w:keepLines w:val="0"/>
        <w:widowControl/>
        <w:suppressLineNumbers w:val="0"/>
        <w:jc w:val="left"/>
        <w:rPr>
          <w:sz w:val="28"/>
          <w:szCs w:val="28"/>
        </w:rPr>
      </w:pPr>
      <w:r>
        <w:rPr>
          <w:sz w:val="28"/>
          <w:szCs w:val="28"/>
        </w:rPr>
        <w:t>三、百年变局下中国对外政策保持战略定力的深层缘由</w:t>
      </w:r>
    </w:p>
    <w:p w14:paraId="3551A365">
      <w:pPr>
        <w:keepNext w:val="0"/>
        <w:keepLines w:val="0"/>
        <w:widowControl/>
        <w:suppressLineNumbers w:val="0"/>
        <w:jc w:val="left"/>
      </w:pPr>
      <w:r>
        <w:rPr>
          <w:rFonts w:ascii="宋体" w:hAnsi="宋体" w:eastAsia="宋体" w:cs="宋体"/>
          <w:kern w:val="0"/>
          <w:sz w:val="24"/>
          <w:szCs w:val="24"/>
          <w:lang w:val="en-US" w:eastAsia="zh-CN" w:bidi="ar"/>
        </w:rPr>
        <w:t>中国对外政策保持战略定力，是基于历史经验、现实需求与文明基因的必然选择，蕴含深刻的历史、现实与文明逻辑。</w:t>
      </w:r>
    </w:p>
    <w:p w14:paraId="464C3BAE">
      <w:pPr>
        <w:pStyle w:val="3"/>
        <w:keepNext w:val="0"/>
        <w:keepLines w:val="0"/>
        <w:widowControl/>
        <w:suppressLineNumbers w:val="0"/>
        <w:jc w:val="left"/>
        <w:rPr>
          <w:rFonts w:hint="eastAsia" w:ascii="宋体" w:hAnsi="宋体" w:eastAsia="宋体" w:cs="宋体"/>
          <w:b/>
          <w:bCs/>
          <w:kern w:val="44"/>
          <w:sz w:val="24"/>
          <w:szCs w:val="24"/>
          <w:lang w:val="en-US" w:eastAsia="zh-CN" w:bidi="ar"/>
        </w:rPr>
      </w:pPr>
      <w:r>
        <w:rPr>
          <w:rFonts w:hint="eastAsia" w:ascii="宋体" w:hAnsi="宋体" w:eastAsia="宋体" w:cs="宋体"/>
          <w:b/>
          <w:bCs/>
          <w:kern w:val="44"/>
          <w:sz w:val="24"/>
          <w:szCs w:val="24"/>
          <w:lang w:val="en-US" w:eastAsia="zh-CN" w:bidi="ar"/>
        </w:rPr>
        <w:t>（一）历史逻辑：百年奋斗历程的经验积淀与历史启示</w:t>
      </w:r>
    </w:p>
    <w:p w14:paraId="2C19E8D9">
      <w:pPr>
        <w:keepNext w:val="0"/>
        <w:keepLines w:val="0"/>
        <w:widowControl/>
        <w:suppressLineNumbers w:val="0"/>
        <w:jc w:val="left"/>
      </w:pPr>
      <w:r>
        <w:rPr>
          <w:rFonts w:ascii="宋体" w:hAnsi="宋体" w:eastAsia="宋体" w:cs="宋体"/>
          <w:kern w:val="0"/>
          <w:sz w:val="24"/>
          <w:szCs w:val="24"/>
          <w:lang w:val="en-US" w:eastAsia="zh-CN" w:bidi="ar"/>
        </w:rPr>
        <w:t>战略定力是党领导人民百年奋斗的宝贵经验。新中国成立之初，面对封锁禁运，我国确立独立自主外交底色，提出和平共处五项原则；改革开放后，坚持和平发展道路，融入全球化进程；新时代，在习近平外交思想指引下，推进伙伴关系建设与“一带一路”发展，取得历史性成就。</w:t>
      </w:r>
    </w:p>
    <w:p w14:paraId="73DE29C4">
      <w:pPr>
        <w:keepNext w:val="0"/>
        <w:keepLines w:val="0"/>
        <w:widowControl/>
        <w:suppressLineNumbers w:val="0"/>
        <w:jc w:val="left"/>
      </w:pPr>
      <w:r>
        <w:rPr>
          <w:rFonts w:ascii="宋体" w:hAnsi="宋体" w:eastAsia="宋体" w:cs="宋体"/>
          <w:sz w:val="24"/>
          <w:szCs w:val="24"/>
        </w:rPr>
        <w:t>从建国初期的“一边倒”到改革开放后的“全方位外交”，中国外交史本身就是一部不断通过自主探索来对冲外部霸权压力的实践史。这种深厚的历史积淀赋予了当下政策制定者一种“大周期视野”，使我国能从全球格局演进的长航道中审视个别国家的短视行为，从而在战略决策上形成对西方“选举政治”导致的短期利益波动的免疫力 。</w:t>
      </w:r>
      <w:r>
        <w:rPr>
          <w:rFonts w:ascii="宋体" w:hAnsi="宋体" w:eastAsia="宋体" w:cs="宋体"/>
          <w:kern w:val="0"/>
          <w:sz w:val="24"/>
          <w:szCs w:val="24"/>
          <w:lang w:val="en-US" w:eastAsia="zh-CN" w:bidi="ar"/>
        </w:rPr>
        <w:t>唯有坚守，才能在风浪中站稳脚跟；丧失定力则会陷入被动，百年积淀的战略定力成为应对变局的历史底气。</w:t>
      </w:r>
    </w:p>
    <w:p w14:paraId="44A3033F">
      <w:pPr>
        <w:keepNext w:val="0"/>
        <w:keepLines w:val="0"/>
        <w:widowControl/>
        <w:suppressLineNumbers w:val="0"/>
        <w:jc w:val="left"/>
      </w:pPr>
      <w:r>
        <w:rPr>
          <w:rFonts w:ascii="宋体" w:hAnsi="宋体" w:eastAsia="宋体" w:cs="宋体"/>
          <w:kern w:val="0"/>
          <w:sz w:val="24"/>
          <w:szCs w:val="24"/>
          <w:lang w:val="en-US" w:eastAsia="zh-CN" w:bidi="ar"/>
        </w:rPr>
        <w:t>历史充分证明，战略定力是中国外交行稳致远的关键。每当国际环境复杂多变、风险挑战加剧时，正是因为坚守战略定力，中国才能在风浪中站稳脚跟、把握主动；反之，若丧失战略定力，盲目跟风或急于求成，必然会陷入被动局面。百年奋斗历程积淀的战略定力，成为新时代中国对外政策应对</w:t>
      </w:r>
      <w:r>
        <w:rPr>
          <w:rFonts w:hint="eastAsia" w:ascii="宋体" w:hAnsi="宋体" w:cs="宋体"/>
          <w:kern w:val="0"/>
          <w:sz w:val="24"/>
          <w:szCs w:val="24"/>
          <w:lang w:val="en-US" w:eastAsia="zh-CN" w:bidi="ar"/>
        </w:rPr>
        <w:t>全球权力结构的重塑期</w:t>
      </w:r>
      <w:r>
        <w:rPr>
          <w:rFonts w:ascii="宋体" w:hAnsi="宋体" w:eastAsia="宋体" w:cs="宋体"/>
          <w:kern w:val="0"/>
          <w:sz w:val="24"/>
          <w:szCs w:val="24"/>
          <w:lang w:val="en-US" w:eastAsia="zh-CN" w:bidi="ar"/>
        </w:rPr>
        <w:t>的历史底气。</w:t>
      </w:r>
    </w:p>
    <w:p w14:paraId="3ECE5981">
      <w:pPr>
        <w:pStyle w:val="3"/>
        <w:keepNext w:val="0"/>
        <w:keepLines w:val="0"/>
        <w:widowControl/>
        <w:suppressLineNumbers w:val="0"/>
        <w:jc w:val="left"/>
        <w:rPr>
          <w:rFonts w:hint="eastAsia" w:ascii="宋体" w:hAnsi="宋体" w:eastAsia="宋体" w:cs="宋体"/>
          <w:b/>
          <w:bCs/>
          <w:kern w:val="44"/>
          <w:sz w:val="24"/>
          <w:szCs w:val="24"/>
          <w:lang w:val="en-US" w:eastAsia="zh-CN" w:bidi="ar"/>
        </w:rPr>
      </w:pPr>
      <w:r>
        <w:rPr>
          <w:rFonts w:hint="eastAsia" w:ascii="宋体" w:hAnsi="宋体" w:eastAsia="宋体" w:cs="宋体"/>
          <w:b/>
          <w:bCs/>
          <w:kern w:val="44"/>
          <w:sz w:val="24"/>
          <w:szCs w:val="24"/>
          <w:lang w:val="en-US" w:eastAsia="zh-CN" w:bidi="ar"/>
        </w:rPr>
        <w:t>（二）现实逻辑：应对风险挑战与实现发展目标的必然要求</w:t>
      </w:r>
    </w:p>
    <w:p w14:paraId="1AECB173">
      <w:pPr>
        <w:keepNext w:val="0"/>
        <w:keepLines w:val="0"/>
        <w:widowControl/>
        <w:suppressLineNumbers w:val="0"/>
        <w:jc w:val="left"/>
      </w:pPr>
      <w:r>
        <w:rPr>
          <w:rFonts w:ascii="宋体" w:hAnsi="宋体" w:eastAsia="宋体" w:cs="宋体"/>
          <w:kern w:val="0"/>
          <w:sz w:val="24"/>
          <w:szCs w:val="24"/>
          <w:lang w:val="en-US" w:eastAsia="zh-CN" w:bidi="ar"/>
        </w:rPr>
        <w:t>当前，中国处于现代化建设关键时期，外部环境复杂严峻，单边主义、地缘博弈加剧，个别大国全方位施压遏制中国发展。缺乏战略定力易陷入对抗陷阱或错失机遇，唯有坚守定力，才能冷静应对挑衅，趋利避害防范风险。</w:t>
      </w:r>
    </w:p>
    <w:p w14:paraId="7BA9479A">
      <w:pPr>
        <w:keepNext w:val="0"/>
        <w:keepLines w:val="0"/>
        <w:widowControl/>
        <w:suppressLineNumbers w:val="0"/>
        <w:jc w:val="left"/>
      </w:pPr>
      <w:r>
        <w:rPr>
          <w:rFonts w:ascii="宋体" w:hAnsi="宋体" w:eastAsia="宋体" w:cs="宋体"/>
          <w:kern w:val="0"/>
          <w:sz w:val="24"/>
          <w:szCs w:val="24"/>
          <w:lang w:val="en-US" w:eastAsia="zh-CN" w:bidi="ar"/>
        </w:rPr>
        <w:t>从外部风险来看，</w:t>
      </w:r>
      <w:r>
        <w:rPr>
          <w:rFonts w:hint="eastAsia" w:ascii="宋体" w:hAnsi="宋体" w:cs="宋体"/>
          <w:kern w:val="0"/>
          <w:sz w:val="24"/>
          <w:szCs w:val="24"/>
          <w:lang w:val="en-US" w:eastAsia="zh-CN" w:bidi="ar"/>
        </w:rPr>
        <w:t>全球权力结构的重塑期</w:t>
      </w:r>
      <w:r>
        <w:rPr>
          <w:rFonts w:ascii="宋体" w:hAnsi="宋体" w:eastAsia="宋体" w:cs="宋体"/>
          <w:kern w:val="0"/>
          <w:sz w:val="24"/>
          <w:szCs w:val="24"/>
          <w:lang w:val="en-US" w:eastAsia="zh-CN" w:bidi="ar"/>
        </w:rPr>
        <w:t>下，单边主义、保护主义甚嚣尘上，地缘政治博弈尖锐复杂，和平赤字、发展赤字、安全赤字、治理赤字愈加突出。</w:t>
      </w:r>
      <w:r>
        <w:rPr>
          <w:rFonts w:ascii="宋体" w:hAnsi="宋体" w:eastAsia="宋体" w:cs="宋体"/>
          <w:sz w:val="24"/>
          <w:szCs w:val="24"/>
        </w:rPr>
        <w:t>于部分霸权主体将我国锚定为“制度性对手”，并试图通过多维度（如技术封锁、贸易壁垒、地缘围堵）的策略博弈来延缓我国现代化转型的速率 。面对此类结构性压力，若战略决策系统出现摆动或情绪化反馈，极易落入对方预设的“修昔底德陷阱”或陷入消耗性对抗的泥潭 。因此，保持政策的连续性与定力，实质上是在进行一场比拼“战略耐受力”的深度长跑 。</w:t>
      </w:r>
      <w:r>
        <w:rPr>
          <w:rFonts w:ascii="宋体" w:hAnsi="宋体" w:eastAsia="宋体" w:cs="宋体"/>
          <w:kern w:val="0"/>
          <w:sz w:val="24"/>
          <w:szCs w:val="24"/>
          <w:lang w:val="en-US" w:eastAsia="zh-CN" w:bidi="ar"/>
        </w:rPr>
        <w:t>要么会放弃自身发展节奏，错失战略机遇。只有保持战略定力，才能冷静应对外部挑衅，坚持以我为主、趋利避害，有效防范化解各类风险挑战。</w:t>
      </w:r>
    </w:p>
    <w:p w14:paraId="1E271366">
      <w:pPr>
        <w:keepNext w:val="0"/>
        <w:keepLines w:val="0"/>
        <w:widowControl/>
        <w:suppressLineNumbers w:val="0"/>
        <w:jc w:val="left"/>
      </w:pPr>
      <w:r>
        <w:rPr>
          <w:rFonts w:ascii="宋体" w:hAnsi="宋体" w:eastAsia="宋体" w:cs="宋体"/>
          <w:kern w:val="0"/>
          <w:sz w:val="24"/>
          <w:szCs w:val="24"/>
          <w:lang w:val="en-US" w:eastAsia="zh-CN" w:bidi="ar"/>
        </w:rPr>
        <w:t>中国式现代化需长期稳定外部环境，保持战略定力能传递和平发展信号，增强国际社会信心，吸引资源服务现代化。同时，办好自己的事、提升综合国力，才能以自身确定性应对外部不确定性，为发展筑牢基础。</w:t>
      </w:r>
    </w:p>
    <w:p w14:paraId="04B32942">
      <w:pPr>
        <w:pStyle w:val="3"/>
        <w:keepNext w:val="0"/>
        <w:keepLines w:val="0"/>
        <w:widowControl/>
        <w:suppressLineNumbers w:val="0"/>
        <w:jc w:val="left"/>
        <w:rPr>
          <w:rFonts w:hint="eastAsia" w:ascii="宋体" w:hAnsi="宋体" w:eastAsia="宋体" w:cs="宋体"/>
          <w:b/>
          <w:bCs/>
          <w:kern w:val="44"/>
          <w:sz w:val="24"/>
          <w:szCs w:val="24"/>
          <w:lang w:val="en-US" w:eastAsia="zh-CN" w:bidi="ar"/>
        </w:rPr>
      </w:pPr>
      <w:r>
        <w:rPr>
          <w:rFonts w:hint="eastAsia" w:ascii="宋体" w:hAnsi="宋体" w:eastAsia="宋体" w:cs="宋体"/>
          <w:b/>
          <w:bCs/>
          <w:kern w:val="44"/>
          <w:sz w:val="24"/>
          <w:szCs w:val="24"/>
          <w:lang w:val="en-US" w:eastAsia="zh-CN" w:bidi="ar"/>
        </w:rPr>
        <w:t>（三）文明逻辑：中华民族和平基因与大国担当的集中体现</w:t>
      </w:r>
    </w:p>
    <w:p w14:paraId="49DA290C">
      <w:pPr>
        <w:keepNext w:val="0"/>
        <w:keepLines w:val="0"/>
        <w:widowControl/>
        <w:suppressLineNumbers w:val="0"/>
        <w:jc w:val="left"/>
      </w:pPr>
      <w:r>
        <w:rPr>
          <w:rFonts w:ascii="宋体" w:hAnsi="宋体" w:eastAsia="宋体" w:cs="宋体"/>
          <w:kern w:val="0"/>
          <w:sz w:val="24"/>
          <w:szCs w:val="24"/>
          <w:lang w:val="en-US" w:eastAsia="zh-CN" w:bidi="ar"/>
        </w:rPr>
        <w:t>中华文明蕴含和平基因，丝绸之路是和平交流典范；近代屈辱史更让中国珍视和平、坚定维护公平正义。新时代全球文明倡议，正是和平基因的当代延续，决定中国外交必守定力、走和平发展道路。</w:t>
      </w:r>
    </w:p>
    <w:p w14:paraId="0BF9C7C2">
      <w:pPr>
        <w:keepNext w:val="0"/>
        <w:keepLines w:val="0"/>
        <w:widowControl/>
        <w:suppressLineNumbers w:val="0"/>
        <w:jc w:val="left"/>
      </w:pPr>
      <w:r>
        <w:rPr>
          <w:rFonts w:ascii="宋体" w:hAnsi="宋体" w:eastAsia="宋体" w:cs="宋体"/>
          <w:kern w:val="0"/>
          <w:sz w:val="24"/>
          <w:szCs w:val="24"/>
          <w:lang w:val="en-US" w:eastAsia="zh-CN" w:bidi="ar"/>
        </w:rPr>
        <w:t>回望历史，中国历史上曾经长期是世界上最强大的国家之一，但对外政策历来重视和平交往与互利合作，丝绸之路成为东西方和平交流的典范；近代以后，中国人民遭受侵略、掠夺达百年以上，历尽苦难和屈辱，更加深知独立自主与和平安宁来之不易，也更加坚定了维护世界和平、促进公平正义的决心。进入新时代，中国提出全球文明倡议，坚持弘扬全人类共同价值，倡导世界各国基于自身文化特色和历史实践，加强文明交流互鉴，推动多元文明和谐共生，这正是中华民族和平文明基因的当代延续。</w:t>
      </w:r>
    </w:p>
    <w:p w14:paraId="23699B35">
      <w:pPr>
        <w:keepNext w:val="0"/>
        <w:keepLines w:val="0"/>
        <w:widowControl/>
        <w:suppressLineNumbers w:val="0"/>
        <w:jc w:val="left"/>
      </w:pPr>
      <w:r>
        <w:rPr>
          <w:rFonts w:ascii="宋体" w:hAnsi="宋体" w:eastAsia="宋体" w:cs="宋体"/>
          <w:kern w:val="0"/>
          <w:sz w:val="24"/>
          <w:szCs w:val="24"/>
          <w:lang w:val="en-US" w:eastAsia="zh-CN" w:bidi="ar"/>
        </w:rPr>
        <w:t>作为负责任大国，中国的战略定力体现为大国担当。面对全球性挑战，中国坚定推动人类命运共同体建设，提供中国方案、贡献中国力量，为动荡世界注入稳定正能量。</w:t>
      </w:r>
    </w:p>
    <w:p w14:paraId="589096E7">
      <w:pPr>
        <w:pStyle w:val="2"/>
        <w:keepNext w:val="0"/>
        <w:keepLines w:val="0"/>
        <w:widowControl/>
        <w:suppressLineNumbers w:val="0"/>
        <w:jc w:val="left"/>
        <w:rPr>
          <w:sz w:val="28"/>
          <w:szCs w:val="28"/>
        </w:rPr>
      </w:pPr>
      <w:r>
        <w:rPr>
          <w:sz w:val="28"/>
          <w:szCs w:val="28"/>
        </w:rPr>
        <w:t>四、百年变局下中国对外政策保持战略定力的实践路径</w:t>
      </w:r>
    </w:p>
    <w:p w14:paraId="6343E50A">
      <w:pPr>
        <w:keepNext w:val="0"/>
        <w:keepLines w:val="0"/>
        <w:widowControl/>
        <w:suppressLineNumbers w:val="0"/>
        <w:jc w:val="left"/>
      </w:pPr>
      <w:r>
        <w:rPr>
          <w:rFonts w:ascii="宋体" w:hAnsi="宋体" w:eastAsia="宋体" w:cs="宋体"/>
          <w:kern w:val="0"/>
          <w:sz w:val="24"/>
          <w:szCs w:val="24"/>
          <w:lang w:val="en-US" w:eastAsia="zh-CN" w:bidi="ar"/>
        </w:rPr>
        <w:t>保持战略定力需转化为具体外交实践，结合时代特征与现实需求，可从四方面推进。</w:t>
      </w:r>
    </w:p>
    <w:p w14:paraId="7247279B">
      <w:pPr>
        <w:pStyle w:val="3"/>
        <w:keepNext w:val="0"/>
        <w:keepLines w:val="0"/>
        <w:widowControl/>
        <w:suppressLineNumbers w:val="0"/>
        <w:jc w:val="left"/>
        <w:rPr>
          <w:rFonts w:hint="eastAsia" w:ascii="宋体" w:hAnsi="宋体" w:eastAsia="宋体" w:cs="宋体"/>
          <w:b/>
          <w:bCs/>
          <w:kern w:val="44"/>
          <w:sz w:val="24"/>
          <w:szCs w:val="24"/>
          <w:lang w:val="en-US" w:eastAsia="zh-CN" w:bidi="ar"/>
        </w:rPr>
      </w:pPr>
      <w:r>
        <w:rPr>
          <w:rFonts w:hint="eastAsia" w:ascii="宋体" w:hAnsi="宋体" w:eastAsia="宋体" w:cs="宋体"/>
          <w:b/>
          <w:bCs/>
          <w:kern w:val="44"/>
          <w:sz w:val="24"/>
          <w:szCs w:val="24"/>
          <w:lang w:val="en-US" w:eastAsia="zh-CN" w:bidi="ar"/>
        </w:rPr>
        <w:t>（一）根基：坚定不移办好自己的事，筑牢战略定力的物质基础</w:t>
      </w:r>
    </w:p>
    <w:p w14:paraId="053FB39A">
      <w:pPr>
        <w:keepNext w:val="0"/>
        <w:keepLines w:val="0"/>
        <w:widowControl/>
        <w:suppressLineNumbers w:val="0"/>
        <w:jc w:val="left"/>
      </w:pPr>
      <w:r>
        <w:rPr>
          <w:rFonts w:ascii="宋体" w:hAnsi="宋体" w:eastAsia="宋体" w:cs="宋体"/>
          <w:kern w:val="0"/>
          <w:sz w:val="24"/>
          <w:szCs w:val="24"/>
          <w:lang w:val="en-US" w:eastAsia="zh-CN" w:bidi="ar"/>
        </w:rPr>
        <w:t>习近平总书记强调的“办好自己的事”，是保持战略定力的根本前提。核心是推进高质量发展，提升综合国力，为应对外部变化筑牢物质基础。</w:t>
      </w:r>
    </w:p>
    <w:p w14:paraId="121CCBF3">
      <w:pPr>
        <w:keepNext w:val="0"/>
        <w:keepLines w:val="0"/>
        <w:widowControl/>
        <w:suppressLineNumbers w:val="0"/>
        <w:jc w:val="left"/>
      </w:pPr>
      <w:r>
        <w:rPr>
          <w:rFonts w:ascii="宋体" w:hAnsi="宋体" w:eastAsia="宋体" w:cs="宋体"/>
          <w:kern w:val="0"/>
          <w:sz w:val="24"/>
          <w:szCs w:val="24"/>
          <w:lang w:val="en-US" w:eastAsia="zh-CN" w:bidi="ar"/>
        </w:rPr>
        <w:t>一方面，坚持以经济建设为中心，贯彻新发展理念，构建新发展格局，深化改革激发活力，强化科技创新攻克核心技术，提升产业链韧性，以经济实力增强国际话语权。另一方面，统筹发展与安全，坚持总体国家安全观，完善涉外法制，加强外事队伍建设，防范化解外部风险。</w:t>
      </w:r>
    </w:p>
    <w:p w14:paraId="75969E7D">
      <w:pPr>
        <w:keepNext w:val="0"/>
        <w:keepLines w:val="0"/>
        <w:widowControl/>
        <w:suppressLineNumbers w:val="0"/>
        <w:jc w:val="left"/>
      </w:pPr>
      <w:r>
        <w:rPr>
          <w:rFonts w:ascii="宋体" w:hAnsi="宋体" w:eastAsia="宋体" w:cs="宋体"/>
          <w:kern w:val="0"/>
          <w:sz w:val="24"/>
          <w:szCs w:val="24"/>
          <w:lang w:val="en-US" w:eastAsia="zh-CN" w:bidi="ar"/>
        </w:rPr>
        <w:t>另一方面，要统筹发展和安全两件大事，坚持总体国家安全观。在维护经济安全、科技安全、意识形态安全等核心领域安全的基础上，积极防范化解各类外部风险挑战。通过完善涉外法制建设，构建系统完备的涉外法律法规体系，为应对外部制裁、维护国家利益提供法律保障；通过加强外事干部队伍建设，提升外交工作的专业化水平，确保对外政策的有效实施。办好自己的事，既是保持战略定力的根基，也是应对百年变局的根本之道。</w:t>
      </w:r>
    </w:p>
    <w:p w14:paraId="57E93037">
      <w:pPr>
        <w:pStyle w:val="3"/>
        <w:keepNext w:val="0"/>
        <w:keepLines w:val="0"/>
        <w:widowControl/>
        <w:suppressLineNumbers w:val="0"/>
        <w:jc w:val="left"/>
        <w:rPr>
          <w:rFonts w:hint="eastAsia" w:ascii="宋体" w:hAnsi="宋体" w:eastAsia="宋体" w:cs="宋体"/>
          <w:b/>
          <w:bCs/>
          <w:kern w:val="44"/>
          <w:sz w:val="24"/>
          <w:szCs w:val="24"/>
          <w:lang w:val="en-US" w:eastAsia="zh-CN" w:bidi="ar"/>
        </w:rPr>
      </w:pPr>
      <w:r>
        <w:rPr>
          <w:rFonts w:hint="eastAsia" w:ascii="宋体" w:hAnsi="宋体" w:eastAsia="宋体" w:cs="宋体"/>
          <w:b/>
          <w:bCs/>
          <w:kern w:val="44"/>
          <w:sz w:val="24"/>
          <w:szCs w:val="24"/>
          <w:lang w:val="en-US" w:eastAsia="zh-CN" w:bidi="ar"/>
        </w:rPr>
        <w:t>（二）支撑：深化战略协作，以确定性应对不确定性</w:t>
      </w:r>
    </w:p>
    <w:p w14:paraId="08F36995">
      <w:pPr>
        <w:keepNext w:val="0"/>
        <w:keepLines w:val="0"/>
        <w:widowControl/>
        <w:suppressLineNumbers w:val="0"/>
        <w:jc w:val="left"/>
      </w:pPr>
      <w:r>
        <w:rPr>
          <w:rFonts w:ascii="宋体" w:hAnsi="宋体" w:eastAsia="宋体" w:cs="宋体"/>
          <w:kern w:val="0"/>
          <w:sz w:val="24"/>
          <w:szCs w:val="24"/>
          <w:lang w:val="en-US" w:eastAsia="zh-CN" w:bidi="ar"/>
        </w:rPr>
        <w:t>深化战略协作、构建稳定伙伴关系，是保持战略定力的重要支撑。通过战略协作的确定性，对冲国际环境的不确定性，营造有利发展环境。</w:t>
      </w:r>
    </w:p>
    <w:p w14:paraId="12ADBCDC">
      <w:pPr>
        <w:keepNext w:val="0"/>
        <w:keepLines w:val="0"/>
        <w:widowControl/>
        <w:suppressLineNumbers w:val="0"/>
        <w:jc w:val="left"/>
      </w:pPr>
      <w:r>
        <w:rPr>
          <w:rFonts w:ascii="宋体" w:hAnsi="宋体" w:eastAsia="宋体" w:cs="宋体"/>
          <w:sz w:val="24"/>
          <w:szCs w:val="24"/>
        </w:rPr>
        <w:t xml:space="preserve">中俄之间构建的高度互信与全面协作，已成为当代大国关系中具有“稳定性增量”的标杆 。双方在维护地区安全、重塑多边经贸体系及优化全球治理架构等核心领域达成了深度契合，这种战略协同不仅对冲了单边主义带来的失序风险，更在客观上加速了世界政治格局向多极化转型的进程 </w:t>
      </w:r>
      <w:r>
        <w:rPr>
          <w:rFonts w:ascii="宋体" w:hAnsi="宋体" w:eastAsia="宋体" w:cs="宋体"/>
          <w:kern w:val="0"/>
          <w:sz w:val="24"/>
          <w:szCs w:val="24"/>
          <w:lang w:val="en-US" w:eastAsia="zh-CN" w:bidi="ar"/>
        </w:rPr>
        <w:t>同时，拓展全球伙伴关系网络，秉持真实亲诚理念，深化与全球南方国家合作，形成反霸权、促合作的统一战线。</w:t>
      </w:r>
    </w:p>
    <w:p w14:paraId="1F7E74CD">
      <w:pPr>
        <w:keepNext w:val="0"/>
        <w:keepLines w:val="0"/>
        <w:widowControl/>
        <w:suppressLineNumbers w:val="0"/>
        <w:jc w:val="left"/>
      </w:pPr>
      <w:r>
        <w:rPr>
          <w:rFonts w:ascii="宋体" w:hAnsi="宋体" w:eastAsia="宋体" w:cs="宋体"/>
          <w:kern w:val="0"/>
          <w:sz w:val="24"/>
          <w:szCs w:val="24"/>
          <w:lang w:val="en-US" w:eastAsia="zh-CN" w:bidi="ar"/>
        </w:rPr>
        <w:t>此外，还要不断拓展全球伙伴关系网络，深化与全球南方国家的合作。全球南方国家是推动世界多极化的重要力量，也是中国在国际事务中的天然合作伙伴。通过秉持真实亲诚理念和正确义利观，加强与发展中国家的政治互信、经济合作和人文交流，推动形成更加广泛的反霸权、促合作的国际统一战线，为中国对外政策的实施提供坚实的国际支撑。</w:t>
      </w:r>
    </w:p>
    <w:p w14:paraId="4BFCB820">
      <w:pPr>
        <w:pStyle w:val="3"/>
        <w:keepNext w:val="0"/>
        <w:keepLines w:val="0"/>
        <w:widowControl/>
        <w:suppressLineNumbers w:val="0"/>
        <w:jc w:val="left"/>
        <w:rPr>
          <w:rFonts w:hint="eastAsia" w:ascii="宋体" w:hAnsi="宋体" w:eastAsia="宋体" w:cs="宋体"/>
          <w:b/>
          <w:bCs/>
          <w:kern w:val="44"/>
          <w:sz w:val="24"/>
          <w:szCs w:val="24"/>
          <w:lang w:val="en-US" w:eastAsia="zh-CN" w:bidi="ar"/>
        </w:rPr>
      </w:pPr>
      <w:r>
        <w:rPr>
          <w:rFonts w:hint="eastAsia" w:ascii="宋体" w:hAnsi="宋体" w:eastAsia="宋体" w:cs="宋体"/>
          <w:b/>
          <w:bCs/>
          <w:kern w:val="44"/>
          <w:sz w:val="24"/>
          <w:szCs w:val="24"/>
          <w:lang w:val="en-US" w:eastAsia="zh-CN" w:bidi="ar"/>
        </w:rPr>
        <w:t>（三）抓手：推进高水平开放，塑造发展新优势</w:t>
      </w:r>
    </w:p>
    <w:p w14:paraId="725F6361">
      <w:pPr>
        <w:keepNext w:val="0"/>
        <w:keepLines w:val="0"/>
        <w:widowControl/>
        <w:suppressLineNumbers w:val="0"/>
        <w:jc w:val="left"/>
      </w:pPr>
      <w:r>
        <w:rPr>
          <w:rFonts w:ascii="宋体" w:hAnsi="宋体" w:eastAsia="宋体" w:cs="宋体"/>
          <w:sz w:val="24"/>
          <w:szCs w:val="24"/>
        </w:rPr>
        <w:t>中国应对变局的“抓手”在于从工具性开放向制度性开放的跨越。通过主动对接诸如CPTPP等高标准的国际经贸规则，我们并非被动接受规则，而是利用外部约束倒逼国内要素市场的法治化建设。这种“以开促稳”的策略，实质上是将中国市场转化为全球资本的“避风港”，通过深化全球利益交织，使外部的“脱钩断链”企图因成本过高而难以为继 。</w:t>
      </w:r>
      <w:r>
        <w:rPr>
          <w:rFonts w:ascii="宋体" w:hAnsi="宋体" w:eastAsia="宋体" w:cs="宋体"/>
          <w:kern w:val="0"/>
          <w:sz w:val="24"/>
          <w:szCs w:val="24"/>
          <w:lang w:val="en-US" w:eastAsia="zh-CN" w:bidi="ar"/>
        </w:rPr>
        <w:t>拓展经贸合作，打造利益与命运共同体。同时，统筹开放合作与科技自立自强，参与国际科技合作，以开放倒逼创新，实现良性互动。</w:t>
      </w:r>
    </w:p>
    <w:p w14:paraId="120EE3CB">
      <w:pPr>
        <w:keepNext w:val="0"/>
        <w:keepLines w:val="0"/>
        <w:widowControl/>
        <w:suppressLineNumbers w:val="0"/>
        <w:jc w:val="left"/>
      </w:pPr>
      <w:r>
        <w:rPr>
          <w:rFonts w:ascii="宋体" w:hAnsi="宋体" w:eastAsia="宋体" w:cs="宋体"/>
          <w:kern w:val="0"/>
          <w:sz w:val="24"/>
          <w:szCs w:val="24"/>
          <w:lang w:val="en-US" w:eastAsia="zh-CN" w:bidi="ar"/>
        </w:rPr>
        <w:t>此外，要坚持开放合作与科技自立自强相结合，通过高水平开放参与国际科技合作，吸引全球智力要素，为科技创新注入外部动力；同时，以开放倒逼国内科技创新，推动产业转型升级，打破西方技术霸权，实现科技自立自强与开放合作的良性互动。</w:t>
      </w:r>
    </w:p>
    <w:p w14:paraId="44B1F5BB">
      <w:pPr>
        <w:pStyle w:val="3"/>
        <w:keepNext w:val="0"/>
        <w:keepLines w:val="0"/>
        <w:widowControl/>
        <w:suppressLineNumbers w:val="0"/>
        <w:jc w:val="left"/>
        <w:rPr>
          <w:rFonts w:hint="eastAsia" w:ascii="宋体" w:hAnsi="宋体" w:eastAsia="宋体" w:cs="宋体"/>
          <w:b/>
          <w:bCs/>
          <w:kern w:val="44"/>
          <w:sz w:val="24"/>
          <w:szCs w:val="24"/>
          <w:lang w:val="en-US" w:eastAsia="zh-CN" w:bidi="ar"/>
        </w:rPr>
      </w:pPr>
      <w:r>
        <w:rPr>
          <w:rFonts w:hint="eastAsia" w:ascii="宋体" w:hAnsi="宋体" w:eastAsia="宋体" w:cs="宋体"/>
          <w:b/>
          <w:bCs/>
          <w:kern w:val="44"/>
          <w:sz w:val="24"/>
          <w:szCs w:val="24"/>
          <w:lang w:val="en-US" w:eastAsia="zh-CN" w:bidi="ar"/>
        </w:rPr>
        <w:t>（四）突破：参与全球治理变革，引领时代发展潮流</w:t>
      </w:r>
    </w:p>
    <w:p w14:paraId="69148427">
      <w:pPr>
        <w:keepNext w:val="0"/>
        <w:keepLines w:val="0"/>
        <w:widowControl/>
        <w:suppressLineNumbers w:val="0"/>
        <w:jc w:val="left"/>
      </w:pPr>
      <w:r>
        <w:rPr>
          <w:rFonts w:ascii="宋体" w:hAnsi="宋体" w:eastAsia="宋体" w:cs="宋体"/>
          <w:kern w:val="0"/>
          <w:sz w:val="24"/>
          <w:szCs w:val="24"/>
          <w:lang w:val="en-US" w:eastAsia="zh-CN" w:bidi="ar"/>
        </w:rPr>
        <w:t>参与全球治理变革是保持战略定力的突破点。践行共商共建共享治理观，提升国际话语权，为世界发展贡献中国智慧，推动治理体系向公正合理方向发展。</w:t>
      </w:r>
    </w:p>
    <w:p w14:paraId="6146DECD">
      <w:pPr>
        <w:keepNext w:val="0"/>
        <w:keepLines w:val="0"/>
        <w:widowControl/>
        <w:suppressLineNumbers w:val="0"/>
        <w:jc w:val="left"/>
      </w:pPr>
      <w:r>
        <w:rPr>
          <w:rFonts w:ascii="宋体" w:hAnsi="宋体" w:eastAsia="宋体" w:cs="宋体"/>
          <w:kern w:val="0"/>
          <w:sz w:val="24"/>
          <w:szCs w:val="24"/>
          <w:lang w:val="en-US" w:eastAsia="zh-CN" w:bidi="ar"/>
        </w:rPr>
        <w:t>一方面，坚持真正多边主义，维护联合国核心地位与国际法基础，反对霸权主义，在气候变化、公共卫生等领域凝聚合作共识。另一方面，提出全球发展、安全、文明三大倡议，推动建立金砖国家新开发银行等多边机构，完善全球金融治理，提升全球南方国家话语权。</w:t>
      </w:r>
    </w:p>
    <w:p w14:paraId="6C16BD5D">
      <w:pPr>
        <w:keepNext w:val="0"/>
        <w:keepLines w:val="0"/>
        <w:widowControl/>
        <w:suppressLineNumbers w:val="0"/>
        <w:jc w:val="left"/>
      </w:pPr>
      <w:r>
        <w:rPr>
          <w:rFonts w:ascii="宋体" w:hAnsi="宋体" w:eastAsia="宋体" w:cs="宋体"/>
          <w:kern w:val="0"/>
          <w:sz w:val="24"/>
          <w:szCs w:val="24"/>
          <w:lang w:val="en-US" w:eastAsia="zh-CN" w:bidi="ar"/>
        </w:rPr>
        <w:t>另一方面，要主动提出全球治理的中国方案，引领全球治理变革方向。通过提出全球发展倡议、全球安全倡议、全球文明倡议，为解决和平与发展问题提供中国思路；通过推动建立金砖国家新开发银行、亚洲基础设施投资银行等多边金融机构，完善全球金融治理体系，提升全球南方国家在全球治理中的话语权。通过积极参与和引领全球治理变革，中国能够在</w:t>
      </w:r>
      <w:r>
        <w:rPr>
          <w:rFonts w:hint="eastAsia" w:ascii="宋体" w:hAnsi="宋体" w:cs="宋体"/>
          <w:kern w:val="0"/>
          <w:sz w:val="24"/>
          <w:szCs w:val="24"/>
          <w:lang w:val="en-US" w:eastAsia="zh-CN" w:bidi="ar"/>
        </w:rPr>
        <w:t>全球权力结构的重塑期</w:t>
      </w:r>
      <w:r>
        <w:rPr>
          <w:rFonts w:ascii="宋体" w:hAnsi="宋体" w:eastAsia="宋体" w:cs="宋体"/>
          <w:kern w:val="0"/>
          <w:sz w:val="24"/>
          <w:szCs w:val="24"/>
          <w:lang w:val="en-US" w:eastAsia="zh-CN" w:bidi="ar"/>
        </w:rPr>
        <w:t>中把握时代潮流，占据道义制高点，为对外政策的实施营造更加有利的国际环境。</w:t>
      </w:r>
    </w:p>
    <w:p w14:paraId="01932805">
      <w:pPr>
        <w:pStyle w:val="2"/>
        <w:keepNext w:val="0"/>
        <w:keepLines w:val="0"/>
        <w:widowControl/>
        <w:suppressLineNumbers w:val="0"/>
        <w:jc w:val="left"/>
        <w:rPr>
          <w:sz w:val="28"/>
          <w:szCs w:val="28"/>
        </w:rPr>
      </w:pPr>
      <w:r>
        <w:rPr>
          <w:sz w:val="28"/>
          <w:szCs w:val="28"/>
        </w:rPr>
        <w:t>五、结论</w:t>
      </w:r>
    </w:p>
    <w:p w14:paraId="61B1F60D">
      <w:pPr>
        <w:keepNext w:val="0"/>
        <w:keepLines w:val="0"/>
        <w:widowControl/>
        <w:suppressLineNumbers w:val="0"/>
        <w:jc w:val="left"/>
      </w:pPr>
      <w:r>
        <w:rPr>
          <w:rFonts w:ascii="宋体" w:hAnsi="宋体" w:eastAsia="宋体" w:cs="宋体"/>
          <w:kern w:val="0"/>
          <w:sz w:val="24"/>
          <w:szCs w:val="24"/>
          <w:lang w:val="en-US" w:eastAsia="zh-CN" w:bidi="ar"/>
        </w:rPr>
        <w:t>保持对外政策战略定力是中国应对百年变局的关键，其深层缘由根植于历史经验、现实需求与文明基因。实践中需以办好自己的事为根基，以战略协作为支撑，以高水平开放为抓手，以全球治理变革为突破，方能保持战略主动，为现代化营造有利环境，为世界和平发展贡献力量。</w:t>
      </w:r>
    </w:p>
    <w:p w14:paraId="465D1912">
      <w:pPr>
        <w:keepNext w:val="0"/>
        <w:keepLines w:val="0"/>
        <w:widowControl/>
        <w:suppressLineNumbers w:val="0"/>
        <w:jc w:val="left"/>
      </w:pPr>
      <w:r>
        <w:rPr>
          <w:rFonts w:ascii="宋体" w:hAnsi="宋体" w:eastAsia="宋体" w:cs="宋体"/>
          <w:kern w:val="0"/>
          <w:sz w:val="24"/>
          <w:szCs w:val="24"/>
          <w:lang w:val="en-US" w:eastAsia="zh-CN" w:bidi="ar"/>
        </w:rPr>
        <w:t>在实践中，要以坚定不移办好自己的事为根基，筑牢战略定力的物质基础；以深化战略协作为支撑，以确定性应对不确定性；以推进高水平开放为抓手，塑造发展新优势；以参与全球治理变革为突破，引领时代发展潮流。唯有如此，中国才能在</w:t>
      </w:r>
      <w:r>
        <w:rPr>
          <w:rFonts w:hint="eastAsia" w:ascii="宋体" w:hAnsi="宋体" w:cs="宋体"/>
          <w:kern w:val="0"/>
          <w:sz w:val="24"/>
          <w:szCs w:val="24"/>
          <w:lang w:val="en-US" w:eastAsia="zh-CN" w:bidi="ar"/>
        </w:rPr>
        <w:t>全球权力结构的重塑期</w:t>
      </w:r>
      <w:r>
        <w:rPr>
          <w:rFonts w:ascii="宋体" w:hAnsi="宋体" w:eastAsia="宋体" w:cs="宋体"/>
          <w:kern w:val="0"/>
          <w:sz w:val="24"/>
          <w:szCs w:val="24"/>
          <w:lang w:val="en-US" w:eastAsia="zh-CN" w:bidi="ar"/>
        </w:rPr>
        <w:t>中始终保持战略清醒和战略主动，既为中国式现代化建设营造稳定有利的外部环境，也为推动构建人类命运共同体、促进世界和平与发展作出更大贡献。</w:t>
      </w:r>
    </w:p>
    <w:p w14:paraId="7C507572">
      <w:pPr>
        <w:keepNext w:val="0"/>
        <w:keepLines w:val="0"/>
        <w:widowControl/>
        <w:suppressLineNumbers w:val="0"/>
        <w:jc w:val="left"/>
      </w:pPr>
      <w:r>
        <w:rPr>
          <w:rFonts w:ascii="宋体" w:hAnsi="宋体" w:eastAsia="宋体" w:cs="宋体"/>
          <w:kern w:val="0"/>
          <w:sz w:val="24"/>
          <w:szCs w:val="24"/>
          <w:lang w:val="en-US" w:eastAsia="zh-CN" w:bidi="ar"/>
        </w:rPr>
        <w:t>未来国际环境将更复杂，需始终坚守战略定力，在坚守中塑造、应变中把握方向，完善实践路径，推动中国特色大国外交开创新局面。</w:t>
      </w:r>
    </w:p>
    <w:p w14:paraId="2766F4E3">
      <w:pPr>
        <w:pStyle w:val="2"/>
        <w:keepNext w:val="0"/>
        <w:keepLines w:val="0"/>
        <w:widowControl/>
        <w:suppressLineNumbers w:val="0"/>
        <w:jc w:val="left"/>
        <w:rPr>
          <w:sz w:val="28"/>
          <w:szCs w:val="28"/>
        </w:rPr>
      </w:pPr>
      <w:r>
        <w:rPr>
          <w:sz w:val="28"/>
          <w:szCs w:val="28"/>
        </w:rPr>
        <w:t>参考文献</w:t>
      </w:r>
    </w:p>
    <w:p w14:paraId="1D52251B">
      <w:pPr>
        <w:keepNext w:val="0"/>
        <w:keepLines w:val="0"/>
        <w:widowControl/>
        <w:suppressLineNumbers w:val="0"/>
        <w:jc w:val="left"/>
      </w:pPr>
      <w:r>
        <w:rPr>
          <w:rFonts w:ascii="宋体" w:hAnsi="宋体" w:eastAsia="宋体" w:cs="宋体"/>
          <w:kern w:val="0"/>
          <w:sz w:val="24"/>
          <w:szCs w:val="24"/>
          <w:lang w:val="en-US" w:eastAsia="zh-CN" w:bidi="ar"/>
        </w:rPr>
        <w:t>[1] 习近平. 决胜全面建成小康社会 夺取新时代中国特色社会主义伟大胜利——在中国共产党第十九次全国代表大会上的报告[M]. 北京: 人民出版社, 2017.</w:t>
      </w:r>
    </w:p>
    <w:p w14:paraId="60DF3159">
      <w:pPr>
        <w:keepNext w:val="0"/>
        <w:keepLines w:val="0"/>
        <w:widowControl/>
        <w:suppressLineNumbers w:val="0"/>
        <w:jc w:val="left"/>
      </w:pPr>
      <w:r>
        <w:rPr>
          <w:rFonts w:ascii="宋体" w:hAnsi="宋体" w:eastAsia="宋体" w:cs="宋体"/>
          <w:kern w:val="0"/>
          <w:sz w:val="24"/>
          <w:szCs w:val="24"/>
          <w:lang w:val="en-US" w:eastAsia="zh-CN" w:bidi="ar"/>
        </w:rPr>
        <w:t>[2] 中共中央宣传部. 习近平外交思想学习纲要[M]. 北京: 人民出版社, 2021.</w:t>
      </w:r>
    </w:p>
    <w:sectPr>
      <w:footerReference r:id="rId3" w:type="default"/>
      <w:pgSz w:w="11906" w:h="16838"/>
      <w:pgMar w:top="794" w:right="1418" w:bottom="794" w:left="1418" w:header="794" w:footer="794"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FE6D8">
    <w:pPr>
      <w:pStyle w:val="4"/>
      <w:jc w:val="center"/>
      <w:rPr>
        <w:rFonts w:hint="eastAsia"/>
        <w:sz w:val="21"/>
        <w:szCs w:val="21"/>
      </w:rPr>
    </w:pPr>
    <w:r>
      <w:rPr>
        <w:rFonts w:hint="eastAsia"/>
        <w:sz w:val="21"/>
        <w:szCs w:val="21"/>
      </w:rPr>
      <w:t>第</w:t>
    </w:r>
    <w:r>
      <w:rPr>
        <w:rStyle w:val="8"/>
        <w:sz w:val="21"/>
        <w:szCs w:val="21"/>
      </w:rPr>
      <w:fldChar w:fldCharType="begin"/>
    </w:r>
    <w:r>
      <w:rPr>
        <w:rStyle w:val="8"/>
        <w:sz w:val="21"/>
        <w:szCs w:val="21"/>
      </w:rPr>
      <w:instrText xml:space="preserve"> PAGE </w:instrText>
    </w:r>
    <w:r>
      <w:rPr>
        <w:rStyle w:val="8"/>
        <w:sz w:val="21"/>
        <w:szCs w:val="21"/>
      </w:rPr>
      <w:fldChar w:fldCharType="separate"/>
    </w:r>
    <w:r>
      <w:rPr>
        <w:rStyle w:val="8"/>
        <w:sz w:val="21"/>
        <w:szCs w:val="21"/>
      </w:rPr>
      <w:t>1</w:t>
    </w:r>
    <w:r>
      <w:rPr>
        <w:rStyle w:val="8"/>
        <w:sz w:val="21"/>
        <w:szCs w:val="21"/>
      </w:rPr>
      <w:fldChar w:fldCharType="end"/>
    </w:r>
    <w:r>
      <w:rPr>
        <w:rFonts w:hint="eastAsia"/>
        <w:sz w:val="21"/>
        <w:szCs w:val="21"/>
      </w:rPr>
      <w:t>页  共</w:t>
    </w:r>
    <w:r>
      <w:rPr>
        <w:rStyle w:val="8"/>
        <w:sz w:val="21"/>
        <w:szCs w:val="21"/>
      </w:rPr>
      <w:fldChar w:fldCharType="begin"/>
    </w:r>
    <w:r>
      <w:rPr>
        <w:rStyle w:val="8"/>
        <w:sz w:val="21"/>
        <w:szCs w:val="21"/>
      </w:rPr>
      <w:instrText xml:space="preserve"> NUMPAGES </w:instrText>
    </w:r>
    <w:r>
      <w:rPr>
        <w:rStyle w:val="8"/>
        <w:sz w:val="21"/>
        <w:szCs w:val="21"/>
      </w:rPr>
      <w:fldChar w:fldCharType="separate"/>
    </w:r>
    <w:r>
      <w:rPr>
        <w:rStyle w:val="8"/>
        <w:sz w:val="21"/>
        <w:szCs w:val="21"/>
      </w:rPr>
      <w:t>1</w:t>
    </w:r>
    <w:r>
      <w:rPr>
        <w:rStyle w:val="8"/>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A334B5"/>
    <w:rsid w:val="090F5344"/>
    <w:rsid w:val="0C8B707B"/>
    <w:rsid w:val="0E9C5B66"/>
    <w:rsid w:val="11FF15C9"/>
    <w:rsid w:val="12E507A0"/>
    <w:rsid w:val="21126F0A"/>
    <w:rsid w:val="283806CA"/>
    <w:rsid w:val="42BD4823"/>
    <w:rsid w:val="4D3E578C"/>
    <w:rsid w:val="51DB0328"/>
    <w:rsid w:val="71411B5D"/>
    <w:rsid w:val="729F5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Subtitle"/>
    <w:basedOn w:val="1"/>
    <w:next w:val="1"/>
    <w:qFormat/>
    <w:uiPriority w:val="0"/>
    <w:pPr>
      <w:spacing w:before="240" w:after="60" w:line="312" w:lineRule="auto"/>
      <w:jc w:val="center"/>
      <w:outlineLvl w:val="1"/>
    </w:pPr>
    <w:rPr>
      <w:rFonts w:ascii="等线 Light" w:hAnsi="等线 Light" w:cs="Times New Roman"/>
      <w:b/>
      <w:bCs/>
      <w:kern w:val="28"/>
      <w:sz w:val="32"/>
      <w:szCs w:val="32"/>
    </w:r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Office_12.8.2.21555_F1E327BC-269C-435d-A152-05C5408002CA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2025-12-25T08:55:00Z</dcterms:created>
  <dc:creator>Mrkuz</dc:creator>
  <cp:lastModifiedBy>mika</cp:lastModifiedBy>
  <dcterms:modified xsi:type="dcterms:W3CDTF">2025-12-25T12:04:48Z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2052-12.8.2.21555</vt:lpwstr>
  </property>
  <property fmtid="{D5CDD505-2E9C-101B-9397-08002B2CF9AE}" pid="3" name="ICV">
    <vt:lpwstr>637DC9DE0BC64CE685F3897BC1589287_12</vt:lpwstr>
  </property>
</Properties>
</file>