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368B5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深圳技术大学考试答题纸</w:t>
      </w:r>
    </w:p>
    <w:p w14:paraId="1C791135">
      <w:pPr>
        <w:jc w:val="center"/>
        <w:rPr>
          <w:sz w:val="10"/>
          <w:szCs w:val="10"/>
        </w:rPr>
      </w:pPr>
      <w:r>
        <w:rPr>
          <w:rFonts w:hint="eastAsia"/>
          <w:sz w:val="24"/>
        </w:rPr>
        <w:t>(以论文、报告等形式考核专用)</w:t>
      </w:r>
      <w:r>
        <w:rPr>
          <w:sz w:val="24"/>
        </w:rPr>
        <w:br w:type="textWrapping"/>
      </w:r>
      <w:r>
        <w:rPr>
          <w:rFonts w:hint="eastAsia"/>
          <w:sz w:val="24"/>
        </w:rPr>
        <w:t>二○</w:t>
      </w:r>
      <w:r>
        <w:rPr>
          <w:rFonts w:hint="eastAsia"/>
          <w:sz w:val="24"/>
          <w:u w:val="single"/>
        </w:rPr>
        <w:t xml:space="preserve"> 二五     </w:t>
      </w:r>
      <w:r>
        <w:rPr>
          <w:rFonts w:hint="eastAsia"/>
          <w:sz w:val="24"/>
        </w:rPr>
        <w:t>～二○</w:t>
      </w:r>
      <w:r>
        <w:rPr>
          <w:rFonts w:hint="eastAsia"/>
          <w:sz w:val="24"/>
          <w:u w:val="single"/>
        </w:rPr>
        <w:t xml:space="preserve">  二六     </w:t>
      </w:r>
      <w:r>
        <w:rPr>
          <w:rFonts w:hint="eastAsia"/>
          <w:sz w:val="24"/>
        </w:rPr>
        <w:t xml:space="preserve">  学年度第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一   </w:t>
      </w:r>
      <w:r>
        <w:rPr>
          <w:rFonts w:hint="eastAsia"/>
          <w:sz w:val="24"/>
        </w:rPr>
        <w:t>学期</w:t>
      </w:r>
    </w:p>
    <w:tbl>
      <w:tblPr>
        <w:tblStyle w:val="6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79"/>
        <w:gridCol w:w="1080"/>
        <w:gridCol w:w="1021"/>
        <w:gridCol w:w="79"/>
        <w:gridCol w:w="1021"/>
        <w:gridCol w:w="1177"/>
        <w:gridCol w:w="363"/>
        <w:gridCol w:w="1080"/>
        <w:gridCol w:w="1090"/>
        <w:gridCol w:w="720"/>
        <w:gridCol w:w="576"/>
      </w:tblGrid>
      <w:tr w14:paraId="58FC3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76" w:type="dxa"/>
            <w:noWrap w:val="0"/>
            <w:vAlign w:val="center"/>
          </w:tcPr>
          <w:p w14:paraId="11B71076">
            <w:pPr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课程编号</w:t>
            </w:r>
          </w:p>
        </w:tc>
        <w:tc>
          <w:tcPr>
            <w:tcW w:w="115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7E8BD9">
            <w:pPr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MA</w:t>
            </w:r>
            <w:r>
              <w:rPr>
                <w:rFonts w:eastAsia="楷体_GB2312"/>
                <w:szCs w:val="21"/>
              </w:rPr>
              <w:t>0000</w:t>
            </w:r>
            <w:r>
              <w:rPr>
                <w:rFonts w:hint="eastAsia" w:eastAsia="楷体_GB2312"/>
                <w:szCs w:val="21"/>
              </w:rPr>
              <w:t>3</w:t>
            </w:r>
          </w:p>
        </w:tc>
        <w:tc>
          <w:tcPr>
            <w:tcW w:w="1100" w:type="dxa"/>
            <w:gridSpan w:val="2"/>
            <w:noWrap w:val="0"/>
            <w:vAlign w:val="center"/>
          </w:tcPr>
          <w:p w14:paraId="2CF14C10">
            <w:pPr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课程名称</w:t>
            </w:r>
          </w:p>
        </w:tc>
        <w:tc>
          <w:tcPr>
            <w:tcW w:w="2198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4557B2">
            <w:pPr>
              <w:ind w:firstLine="210" w:firstLineChars="100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形势与政策1</w:t>
            </w:r>
          </w:p>
        </w:tc>
        <w:tc>
          <w:tcPr>
            <w:tcW w:w="1443" w:type="dxa"/>
            <w:gridSpan w:val="2"/>
            <w:noWrap w:val="0"/>
            <w:vAlign w:val="center"/>
          </w:tcPr>
          <w:p w14:paraId="7C263361">
            <w:pPr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 xml:space="preserve">主讲教师 </w:t>
            </w:r>
          </w:p>
        </w:tc>
        <w:tc>
          <w:tcPr>
            <w:tcW w:w="1090" w:type="dxa"/>
            <w:tcBorders>
              <w:left w:val="nil"/>
              <w:bottom w:val="single" w:color="auto" w:sz="4" w:space="0"/>
            </w:tcBorders>
            <w:noWrap w:val="0"/>
            <w:vAlign w:val="center"/>
          </w:tcPr>
          <w:p w14:paraId="3E23B4DB">
            <w:pPr>
              <w:spacing w:line="240" w:lineRule="exact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“形势与政策”教研室全体教师</w:t>
            </w:r>
          </w:p>
        </w:tc>
        <w:tc>
          <w:tcPr>
            <w:tcW w:w="720" w:type="dxa"/>
            <w:noWrap w:val="0"/>
            <w:vAlign w:val="center"/>
          </w:tcPr>
          <w:p w14:paraId="0E799B48">
            <w:pPr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评分</w:t>
            </w:r>
          </w:p>
        </w:tc>
        <w:tc>
          <w:tcPr>
            <w:tcW w:w="576" w:type="dxa"/>
            <w:tcBorders>
              <w:bottom w:val="single" w:color="auto" w:sz="4" w:space="0"/>
            </w:tcBorders>
            <w:noWrap w:val="0"/>
            <w:vAlign w:val="center"/>
          </w:tcPr>
          <w:p w14:paraId="6E90BE04">
            <w:pPr>
              <w:rPr>
                <w:rFonts w:hint="eastAsia" w:eastAsia="楷体_GB2312"/>
                <w:sz w:val="24"/>
              </w:rPr>
            </w:pPr>
          </w:p>
        </w:tc>
      </w:tr>
      <w:tr w14:paraId="1CAA1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76" w:type="dxa"/>
            <w:noWrap w:val="0"/>
            <w:vAlign w:val="bottom"/>
          </w:tcPr>
          <w:p w14:paraId="2CF4A85F">
            <w:pPr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学    号</w:t>
            </w:r>
          </w:p>
        </w:tc>
        <w:tc>
          <w:tcPr>
            <w:tcW w:w="1159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03B23DC">
            <w:pPr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202500401033</w:t>
            </w:r>
          </w:p>
        </w:tc>
        <w:tc>
          <w:tcPr>
            <w:tcW w:w="1021" w:type="dxa"/>
            <w:noWrap w:val="0"/>
            <w:vAlign w:val="bottom"/>
          </w:tcPr>
          <w:p w14:paraId="7A2BCD04">
            <w:pPr>
              <w:jc w:val="right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姓名</w:t>
            </w:r>
          </w:p>
        </w:tc>
        <w:tc>
          <w:tcPr>
            <w:tcW w:w="1100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286A1CEC">
            <w:pPr>
              <w:rPr>
                <w:rFonts w:hint="eastAsia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王培锴</w:t>
            </w:r>
          </w:p>
        </w:tc>
        <w:tc>
          <w:tcPr>
            <w:tcW w:w="1540" w:type="dxa"/>
            <w:gridSpan w:val="2"/>
            <w:tcBorders>
              <w:left w:val="nil"/>
            </w:tcBorders>
            <w:noWrap w:val="0"/>
            <w:vAlign w:val="bottom"/>
          </w:tcPr>
          <w:p w14:paraId="5133E3DC">
            <w:pPr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专业年级</w:t>
            </w:r>
          </w:p>
        </w:tc>
        <w:tc>
          <w:tcPr>
            <w:tcW w:w="3466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13236E6A">
            <w:pPr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交通运输专业25级别</w:t>
            </w:r>
          </w:p>
        </w:tc>
      </w:tr>
      <w:tr w14:paraId="0420B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  <w:jc w:val="center"/>
        </w:trPr>
        <w:tc>
          <w:tcPr>
            <w:tcW w:w="9362" w:type="dxa"/>
            <w:gridSpan w:val="12"/>
            <w:tcBorders>
              <w:bottom w:val="single" w:color="auto" w:sz="4" w:space="0"/>
            </w:tcBorders>
            <w:noWrap w:val="0"/>
            <w:vAlign w:val="bottom"/>
          </w:tcPr>
          <w:p w14:paraId="7AA0B62E">
            <w:pPr>
              <w:rPr>
                <w:rFonts w:hint="eastAsia" w:eastAsia="楷体_GB2312"/>
                <w:szCs w:val="21"/>
              </w:rPr>
            </w:pPr>
          </w:p>
        </w:tc>
      </w:tr>
      <w:tr w14:paraId="7DAE3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  <w:jc w:val="center"/>
        </w:trPr>
        <w:tc>
          <w:tcPr>
            <w:tcW w:w="9362" w:type="dxa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509F0C7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论文要求</w:t>
            </w:r>
          </w:p>
          <w:p w14:paraId="5D1B903C">
            <w:pPr>
              <w:spacing w:line="440" w:lineRule="exact"/>
              <w:ind w:firstLine="480" w:firstLineChars="20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当前，世界百年变局加速演进，人类社会走到新的十字路口。个别大国热衷于单边主义、保护主义，对国际规则和国际秩序造成严重冲击，但历史总会在曲折中前进。习近平总书记指出，我们要保持战略定力，主动塑造于我有利的外部环境，坚定不移办好自己的事，把各方面积极因素转化为发展实绩。这一重要论述启示我们，唯有增强战略定力，清晰认知国际国内形势，在更好应对外部环境变化中赢得战略主动，才能推动我国发展行稳致远。</w:t>
            </w:r>
          </w:p>
          <w:p w14:paraId="41DF2DC1">
            <w:pPr>
              <w:spacing w:line="440" w:lineRule="exact"/>
              <w:ind w:firstLine="482" w:firstLineChars="200"/>
              <w:rPr>
                <w:rFonts w:hint="eastAsia" w:ascii="楷体_GB2312" w:hAnsi="宋体" w:eastAsia="楷体_GB2312"/>
                <w:b/>
                <w:bCs/>
                <w:sz w:val="24"/>
              </w:rPr>
            </w:pPr>
          </w:p>
          <w:p w14:paraId="66EB8FB0">
            <w:pPr>
              <w:spacing w:line="440" w:lineRule="exact"/>
              <w:ind w:firstLine="482" w:firstLineChars="200"/>
              <w:rPr>
                <w:rFonts w:ascii="楷体_GB2312" w:hAnsi="宋体" w:eastAsia="楷体_GB2312"/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bCs/>
                <w:sz w:val="24"/>
              </w:rPr>
              <w:t>要求：</w:t>
            </w:r>
          </w:p>
          <w:p w14:paraId="55110DE5">
            <w:pPr>
              <w:spacing w:line="440" w:lineRule="exact"/>
              <w:ind w:firstLine="480" w:firstLineChars="20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（1）字数不低于2500字；</w:t>
            </w:r>
          </w:p>
          <w:p w14:paraId="6FBE580A">
            <w:pPr>
              <w:spacing w:line="440" w:lineRule="exact"/>
              <w:ind w:firstLine="480" w:firstLineChars="20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（2）截止时间为2026年1月4日；</w:t>
            </w:r>
          </w:p>
          <w:p w14:paraId="69288B39">
            <w:pPr>
              <w:spacing w:line="440" w:lineRule="exact"/>
              <w:ind w:firstLine="480" w:firstLineChars="20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（3）需要提交查重报告（自行选择查重工具，推荐使用知网查重），查重报告若有多份，提供1份即可；</w:t>
            </w:r>
          </w:p>
          <w:p w14:paraId="14A878D2">
            <w:pPr>
              <w:spacing w:line="440" w:lineRule="exact"/>
              <w:ind w:firstLine="480" w:firstLineChars="200"/>
              <w:rPr>
                <w:rFonts w:hint="eastAsia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 w:val="24"/>
              </w:rPr>
              <w:t>（4）坚持原创，重复率不得高于20%。</w:t>
            </w:r>
          </w:p>
        </w:tc>
      </w:tr>
      <w:tr w14:paraId="12910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155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55B29B68">
            <w:pPr>
              <w:pStyle w:val="5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题目：</w:t>
            </w:r>
          </w:p>
        </w:tc>
        <w:tc>
          <w:tcPr>
            <w:tcW w:w="6911" w:type="dxa"/>
            <w:gridSpan w:val="8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A938ED">
            <w:pPr>
              <w:pStyle w:val="5"/>
              <w:rPr>
                <w:rFonts w:hint="eastAsia"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《百年变局下中国对外政策保持战略定力的深层缘由与实践路径研究》</w:t>
            </w:r>
          </w:p>
        </w:tc>
        <w:tc>
          <w:tcPr>
            <w:tcW w:w="1296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60A10EEF">
            <w:pPr>
              <w:pStyle w:val="5"/>
              <w:jc w:val="both"/>
              <w:rPr>
                <w:rFonts w:hint="eastAsia"/>
                <w:sz w:val="24"/>
                <w:szCs w:val="24"/>
              </w:rPr>
            </w:pPr>
          </w:p>
        </w:tc>
      </w:tr>
    </w:tbl>
    <w:p w14:paraId="40CD071A">
      <w:pPr>
        <w:rPr>
          <w:rFonts w:hint="eastAsia"/>
        </w:rPr>
      </w:pPr>
    </w:p>
    <w:p w14:paraId="4E4AFE80">
      <w:pPr>
        <w:rPr>
          <w:rFonts w:ascii="新宋体" w:hAnsi="新宋体" w:eastAsia="新宋体"/>
        </w:rPr>
      </w:pPr>
    </w:p>
    <w:p w14:paraId="2FE8D99A">
      <w:pPr>
        <w:rPr>
          <w:rFonts w:ascii="新宋体" w:hAnsi="新宋体" w:eastAsia="新宋体"/>
        </w:rPr>
      </w:pPr>
    </w:p>
    <w:p w14:paraId="0405D182">
      <w:pPr>
        <w:rPr>
          <w:rFonts w:ascii="新宋体" w:hAnsi="新宋体" w:eastAsia="新宋体"/>
        </w:rPr>
      </w:pPr>
    </w:p>
    <w:p w14:paraId="39BA4B7F">
      <w:pPr>
        <w:rPr>
          <w:rFonts w:ascii="新宋体" w:hAnsi="新宋体" w:eastAsia="新宋体"/>
        </w:rPr>
      </w:pPr>
    </w:p>
    <w:p w14:paraId="78875A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CC2C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7CDA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0D4A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5871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AF03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AE0C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FDE9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F9D9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F985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5E397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摘要</w:t>
      </w:r>
    </w:p>
    <w:p w14:paraId="4E013D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世界百年未有之大变局加速演进，单边主义冲击国际秩序，人类社会面临关键抉择。习近平总书记“保持战略定力，坚定不移办好自己的事”的重要论述，为新时代中国对外政策提供根本遵循。本文立足百年变局语境，界定对外政策战略定力的核心内涵，从历史、现实、文明三重逻辑剖析保持战略定力的深层缘由，结合外交实践提出实践路径，为中国在变局中赢得战略主动提供理论参考。</w:t>
      </w:r>
    </w:p>
    <w:p w14:paraId="7154F5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百年变局；中国对外政策；战略定力；深层缘由；实践路径</w:t>
      </w:r>
    </w:p>
    <w:p w14:paraId="7CAF9F80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一、引言</w:t>
      </w:r>
      <w:bookmarkStart w:id="0" w:name="_GoBack"/>
      <w:bookmarkEnd w:id="0"/>
    </w:p>
    <w:p w14:paraId="645480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世界正面临百年未有之大变局”的重大判断，不断被国际格局演变印证。当前，全球政治多极化与大国博弈并存，经济范式深度调整，全球治理体系陷入困境，个别大国推行保护主义、破坏产业链稳定，冲击国际体系与秩序，人类社会发展方向充满不确定性。</w:t>
      </w:r>
    </w:p>
    <w:p w14:paraId="37B4EF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对复杂国际环境，习近平总书记关于保持战略定力的重要论述，揭示了大国发展规律，为对外政策指明方向。战略定力是中国特色大国外交的精神动力，唯有坚守并转化为实践，才能为中国式现代化营造有利外部环境，为构建人类命运共同体贡献力量。</w:t>
      </w:r>
    </w:p>
    <w:p w14:paraId="529AAA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本文聚焦核心议题，厘清战略定力内涵，剖析深层缘由，探索实践路径，深化对新时代中国特色大国外交的认识，为应对变局、实现民族复兴提供支撑。</w:t>
      </w:r>
    </w:p>
    <w:p w14:paraId="178BBF59">
      <w:pPr>
        <w:pStyle w:val="2"/>
        <w:keepNext w:val="0"/>
        <w:keepLines w:val="0"/>
        <w:widowControl/>
        <w:suppressLineNumbers w:val="0"/>
      </w:pPr>
      <w:r>
        <w:rPr>
          <w:sz w:val="28"/>
          <w:szCs w:val="28"/>
        </w:rPr>
        <w:t>二、核心概念界定：对外政策中的战略定力</w:t>
      </w:r>
    </w:p>
    <w:p w14:paraId="1054F2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战略定力源于战略思维，指国家制定实施对外政策时，基于对历史规律、时代大势和核心利益的认知，面对复杂环境坚守战略目标、保持清醒与耐心，不为短期因素所扰的稳定心态与行动，具有鲜明时代内涵。</w:t>
      </w:r>
    </w:p>
    <w:p w14:paraId="08B85A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核心要义体现为三方面：一是“坚守初心”，坚持独立自主和平外交政策，维护核心利益，推进人类命运共同体建设；二是“审时度势”，辩证认知国内外形势，把握变局趋势，分清机遇挑战；三是“稳中求进”，循序渐进推进外交实践，在稳定中合作、协作中化解分歧。</w:t>
      </w:r>
    </w:p>
    <w:p w14:paraId="0524FE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需明确的是，战略定力并非消极守成，而是坚守与塑造的统一。习近平主席关于中俄战略协作“以确定性应对不确定性”的论述，正是战略定力的生动实践。</w:t>
      </w:r>
    </w:p>
    <w:p w14:paraId="628CA3C8">
      <w:pPr>
        <w:pStyle w:val="2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三、百年变局下中国对外政策保持战略定力的深层缘由</w:t>
      </w:r>
    </w:p>
    <w:p w14:paraId="3551A3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中国对外政策保持战略定力，是基于历史经验、现实需求与文明基因的必然选择，蕴含深刻的历史、现实与文明逻辑。</w:t>
      </w:r>
    </w:p>
    <w:p w14:paraId="464C3BAE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  <w:t>（一）历史逻辑：百年奋斗历程的经验积淀与历史启示</w:t>
      </w:r>
    </w:p>
    <w:p w14:paraId="2C19E8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战略定力是党领导人民百年奋斗的宝贵经验。新中国成立之初，面对封锁禁运，我国确立独立自主外交底色，提出和平共处五项原则；改革开放后，坚持和平发展道路，融入全球化进程；新时代，在习近平外交思想指引下，推进伙伴关系建设与“一带一路”发展，取得历史性成就。</w:t>
      </w:r>
    </w:p>
    <w:p w14:paraId="73DE29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历史证明，战略定力是外交行稳致远的关键。唯有坚守，才能在风浪中站稳脚跟；丧失定力则会陷入被动，百年积淀的战略定力成为应对变局的历史底气。</w:t>
      </w:r>
    </w:p>
    <w:p w14:paraId="44A303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充分证明，战略定力是中国外交行稳致远的关键。每当国际环境复杂多变、风险挑战加剧时，正是因为坚守战略定力，中国才能在风浪中站稳脚跟、把握主动；反之，若丧失战略定力，盲目跟风或急于求成，必然会陷入被动局面。百年奋斗历程积淀的战略定力，成为新时代中国对外政策应对百年变局的历史底气。</w:t>
      </w:r>
    </w:p>
    <w:p w14:paraId="3ECE5981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  <w:t>（二）现实逻辑：应对风险挑战与实现发展目标的必然要求</w:t>
      </w:r>
    </w:p>
    <w:p w14:paraId="1AECB1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，中国处于现代化建设关键时期，外部环境复杂严峻，单边主义、地缘博弈加剧，个别大国全方位施压遏制中国发展。缺乏战略定力易陷入对抗陷阱或错失机遇，唯有坚守定力，才能冷静应对挑衅，趋利避害防范风险。</w:t>
      </w:r>
    </w:p>
    <w:p w14:paraId="7BA947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外部风险来看，百年变局下，单边主义、保护主义甚嚣尘上，地缘政治博弈尖锐复杂，和平赤字、发展赤字、安全赤字、治理赤字愈加突出。个别大国将中国视为主要竞争对手，在科技、贸易、外交等领域全方位施压，试图迟滞甚至阻断中华民族伟大复兴进程。在这种情况下，若缺乏战略定力，被外部压力裹挟，要么会陷入与大国的对抗陷阱，消耗发展资源；要么会放弃自身发展节奏，错失战略机遇。只有保持战略定力，才能冷静应对外部挑衅，坚持以我为主、趋利避害，有效防范化解各类风险挑战。</w:t>
      </w:r>
    </w:p>
    <w:p w14:paraId="1E2713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中国式现代化需长期稳定外部环境，保持战略定力能传递和平发展信号，增强国际社会信心，吸引资源服务现代化。同时，办好自己的事、提升综合国力，才能以自身确定性应对外部不确定性，为发展筑牢基础。</w:t>
      </w:r>
    </w:p>
    <w:p w14:paraId="04B32942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  <w:t>（三）文明逻辑：中华民族和平基因与大国担当的集中体现</w:t>
      </w:r>
    </w:p>
    <w:p w14:paraId="49DA29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中华文明蕴含和平基因，丝绸之路是和平交流典范；近代屈辱史更让中国珍视和平、坚定维护公平正义。新时代全球文明倡议，正是和平基因的当代延续，决定中国外交必守定力、走和平发展道路。</w:t>
      </w:r>
    </w:p>
    <w:p w14:paraId="0BF9C7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望历史，中国历史上曾经长期是世界上最强大的国家之一，但对外政策历来重视和平交往与互利合作，丝绸之路成为东西方和平交流的典范；近代以后，中国人民遭受侵略、掠夺达百年以上，历尽苦难和屈辱，更加深知独立自主与和平安宁来之不易，也更加坚定了维护世界和平、促进公平正义的决心。进入新时代，中国提出全球文明倡议，坚持弘扬全人类共同价值，倡导世界各国基于自身文化特色和历史实践，加强文明交流互鉴，推动多元文明和谐共生，这正是中华民族和平文明基因的当代延续。</w:t>
      </w:r>
    </w:p>
    <w:p w14:paraId="23699B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作为负责任大国，中国的战略定力体现为大国担当。面对全球性挑战，中国坚定推动人类命运共同体建设，提供中国方案、贡献中国力量，为动荡世界注入稳定正能量。</w:t>
      </w:r>
    </w:p>
    <w:p w14:paraId="589096E7">
      <w:pPr>
        <w:pStyle w:val="2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四、百年变局下中国对外政策保持战略定力的实践路径</w:t>
      </w:r>
    </w:p>
    <w:p w14:paraId="6343E5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保持战略定力需转化为具体外交实践，结合时代特征与现实需求，可从四方面推进。</w:t>
      </w:r>
    </w:p>
    <w:p w14:paraId="7247279B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  <w:t>（一）根基：坚定不移办好自己的事，筑牢战略定力的物质基础</w:t>
      </w:r>
    </w:p>
    <w:p w14:paraId="053FB3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习近平总书记强调的“办好自己的事”，是保持战略定力的根本前提。核心是推进高质量发展，提升综合国力，为应对外部变化筑牢物质基础。</w:t>
      </w:r>
    </w:p>
    <w:p w14:paraId="121CCB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方面，坚持以经济建设为中心，贯彻新发展理念，构建新发展格局，深化改革激发活力，强化科技创新攻克核心技术，提升产业链韧性，以经济实力增强国际话语权。另一方面，统筹发展与安全，坚持总体国家安全观，完善涉外法制，加强外事队伍建设，防范化解外部风险。</w:t>
      </w:r>
    </w:p>
    <w:p w14:paraId="75969E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另一方面，要统筹发展和安全两件大事，坚持总体国家安全观。在维护经济安全、科技安全、意识形态安全等核心领域安全的基础上，积极防范化解各类外部风险挑战。通过完善涉外法制建设，构建系统完备的涉外法律法规体系，为应对外部制裁、维护国家利益提供法律保障；通过加强外事干部队伍建设，提升外交工作的专业化水平，确保对外政策的有效实施。办好自己的事，既是保持战略定力的根基，也是应对百年变局的根本之道。</w:t>
      </w:r>
    </w:p>
    <w:p w14:paraId="57E93037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  <w:t>（二）支撑：深化战略协作，以确定性应对不确定性</w:t>
      </w:r>
    </w:p>
    <w:p w14:paraId="08F369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深化战略协作、构建稳定伙伴关系，是保持战略定力的重要支撑。通过战略协作的确定性，对冲国际环境的不确定性，营造有利发展环境。</w:t>
      </w:r>
    </w:p>
    <w:p w14:paraId="12ADBC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俄新时代全面战略协作伙伴关系是典范，双方在政治、经济、全球治理领域协同发力，维护战略稳定、推动多极化。同时，拓展全球伙伴关系网络，秉持真实亲诚理念，深化与全球南方国家合作，形成反霸权、促合作的统一战线。</w:t>
      </w:r>
    </w:p>
    <w:p w14:paraId="1F7E74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外，还要不断拓展全球伙伴关系网络，深化与全球南方国家的合作。全球南方国家是推动世界多极化的重要力量，也是中国在国际事务中的天然合作伙伴。通过秉持真实亲诚理念和正确义利观，加强与发展中国家的政治互信、经济合作和人文交流，推动形成更加广泛的反霸权、促合作的国际统一战线，为中国对外政策的实施提供坚实的国际支撑。</w:t>
      </w:r>
    </w:p>
    <w:p w14:paraId="4BFCB820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  <w:t>（三）抓手：推进高水平开放，塑造发展新优势</w:t>
      </w:r>
    </w:p>
    <w:p w14:paraId="7B82B8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推进高水平开放是保持战略定力的重要抓手。封闭守成无法应对变局，唯有坚持开放，利用两个市场、两种资源，以开放促改革、促发展、促创新。</w:t>
      </w:r>
    </w:p>
    <w:p w14:paraId="725F63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是扩大制度型开放，对接国际高标准经贸规则，深化相关体制改革，营造一流营商环境；推动“一带一路”高质量发展，拓展经贸合作，打造利益与命运共同体。同时，统筹开放合作与科技自立自强，参与国际科技合作，以开放倒逼创新，实现良性互动。</w:t>
      </w:r>
    </w:p>
    <w:p w14:paraId="120EE3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外，要坚持开放合作与科技自立自强相结合，通过高水平开放参与国际科技合作，吸引全球智力要素，为科技创新注入外部动力；同时，以开放倒逼国内科技创新，推动产业转型升级，打破西方技术霸权，实现科技自立自强与开放合作的良性互动。</w:t>
      </w:r>
    </w:p>
    <w:p w14:paraId="44B1F5BB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  <w:t>（四）突破：参与全球治理变革，引领时代发展潮流</w:t>
      </w:r>
    </w:p>
    <w:p w14:paraId="691484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参与全球治理变革是保持战略定力的突破点。践行共商共建共享治理观，提升国际话语权，为世界发展贡献中国智慧，推动治理体系向公正合理方向发展。</w:t>
      </w:r>
    </w:p>
    <w:p w14:paraId="6146DE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方面，坚持真正多边主义，维护联合国核心地位与国际法基础，反对霸权主义，在气候变化、公共卫生等领域凝聚合作共识。另一方面，提出全球发展、安全、文明三大倡议，推动建立金砖国家新开发银行等多边机构，完善全球金融治理，提升全球南方国家话语权。</w:t>
      </w:r>
    </w:p>
    <w:p w14:paraId="6C16BD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另一方面，要主动提出全球治理的中国方案，引领全球治理变革方向。通过提出全球发展倡议、全球安全倡议、全球文明倡议，为解决和平与发展问题提供中国思路；通过推动建立金砖国家新开发银行、亚洲基础设施投资银行等多边金融机构，完善全球金融治理体系，提升全球南方国家在全球治理中的话语权。通过积极参与和引领全球治理变革，中国能够在百年变局中把握时代潮流，占据道义制高点，为对外政策的实施营造更加有利的国际环境。</w:t>
      </w:r>
    </w:p>
    <w:p w14:paraId="01932805">
      <w:pPr>
        <w:pStyle w:val="2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五、结论</w:t>
      </w:r>
    </w:p>
    <w:p w14:paraId="61B1F6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持对外政策战略定力是中国应对百年变局的关键，其深层缘由根植于历史经验、现实需求与文明基因。实践中需以办好自己的事为根基，以战略协作为支撑，以高水平开放为抓手，以全球治理变革为突破，方能保持战略主动，为现代化营造有利环境，为世界和平发展贡献力量。</w:t>
      </w:r>
    </w:p>
    <w:p w14:paraId="465D19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实践中，要以坚定不移办好自己的事为根基，筑牢战略定力的物质基础；以深化战略协作为支撑，以确定性应对不确定性；以推进高水平开放为抓手，塑造发展新优势；以参与全球治理变革为突破，引领时代发展潮流。唯有如此，中国才能在百年变局中始终保持战略清醒和战略主动，既为中国式现代化建设营造稳定有利的外部环境，也为推动构建人类命运共同体、促进世界和平与发展作出更大贡献。</w:t>
      </w:r>
    </w:p>
    <w:p w14:paraId="7C5075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未来国际环境将更复杂，需始终坚守战略定力，在坚守中塑造、应变中把握方向，完善实践路径，推动中国特色大国外交开创新局面。</w:t>
      </w:r>
    </w:p>
    <w:p w14:paraId="2766F4E3">
      <w:pPr>
        <w:pStyle w:val="2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参考文献</w:t>
      </w:r>
    </w:p>
    <w:p w14:paraId="1D5225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[1] 习近平. 决胜全面建成小康社会 夺取新时代中国特色社会主义伟大胜利——在中国共产党第十九次全国代表大会上的报告[M]. 北京: 人民出版社, 2017.</w:t>
      </w:r>
    </w:p>
    <w:p w14:paraId="5F7532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[2] 中共中央宣传部. 习近平外交思想学习纲要[M]. 北京: 人民出版社, 2021.</w:t>
      </w:r>
    </w:p>
    <w:p w14:paraId="60DF3159"/>
    <w:sectPr>
      <w:footerReference r:id="rId3" w:type="default"/>
      <w:pgSz w:w="11906" w:h="16838"/>
      <w:pgMar w:top="794" w:right="1418" w:bottom="794" w:left="1418" w:header="794" w:footer="79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FE6D8">
    <w:pPr>
      <w:pStyle w:val="4"/>
      <w:jc w:val="center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rStyle w:val="8"/>
        <w:sz w:val="21"/>
        <w:szCs w:val="21"/>
      </w:rPr>
      <w:fldChar w:fldCharType="begin"/>
    </w:r>
    <w:r>
      <w:rPr>
        <w:rStyle w:val="8"/>
        <w:sz w:val="21"/>
        <w:szCs w:val="21"/>
      </w:rPr>
      <w:instrText xml:space="preserve"> PAGE </w:instrText>
    </w:r>
    <w:r>
      <w:rPr>
        <w:rStyle w:val="8"/>
        <w:sz w:val="21"/>
        <w:szCs w:val="21"/>
      </w:rPr>
      <w:fldChar w:fldCharType="separate"/>
    </w:r>
    <w:r>
      <w:rPr>
        <w:rStyle w:val="8"/>
        <w:sz w:val="21"/>
        <w:szCs w:val="21"/>
      </w:rPr>
      <w:t>1</w:t>
    </w:r>
    <w:r>
      <w:rPr>
        <w:rStyle w:val="8"/>
        <w:sz w:val="21"/>
        <w:szCs w:val="21"/>
      </w:rPr>
      <w:fldChar w:fldCharType="end"/>
    </w:r>
    <w:r>
      <w:rPr>
        <w:rFonts w:hint="eastAsia"/>
        <w:sz w:val="21"/>
        <w:szCs w:val="21"/>
      </w:rPr>
      <w:t>页  共</w:t>
    </w:r>
    <w:r>
      <w:rPr>
        <w:rStyle w:val="8"/>
        <w:sz w:val="21"/>
        <w:szCs w:val="21"/>
      </w:rPr>
      <w:fldChar w:fldCharType="begin"/>
    </w:r>
    <w:r>
      <w:rPr>
        <w:rStyle w:val="8"/>
        <w:sz w:val="21"/>
        <w:szCs w:val="21"/>
      </w:rPr>
      <w:instrText xml:space="preserve"> NUMPAGES </w:instrText>
    </w:r>
    <w:r>
      <w:rPr>
        <w:rStyle w:val="8"/>
        <w:sz w:val="21"/>
        <w:szCs w:val="21"/>
      </w:rPr>
      <w:fldChar w:fldCharType="separate"/>
    </w:r>
    <w:r>
      <w:rPr>
        <w:rStyle w:val="8"/>
        <w:sz w:val="21"/>
        <w:szCs w:val="21"/>
      </w:rPr>
      <w:t>1</w:t>
    </w:r>
    <w:r>
      <w:rPr>
        <w:rStyle w:val="8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C5B66"/>
    <w:rsid w:val="21126F0A"/>
    <w:rsid w:val="42BD4823"/>
    <w:rsid w:val="4D3E578C"/>
    <w:rsid w:val="51DB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2025-12-25T08:55:00Z</dcterms:created>
  <dc:creator>Mrkuz</dc:creator>
  <cp:lastModifiedBy>mika</cp:lastModifiedBy>
  <dcterms:modified xsi:type="dcterms:W3CDTF">2025-12-25T09:15:21Z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637DC9DE0BC64CE685F3897BC1589287_12</vt:lpwstr>
  </property>
</Properties>
</file>