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60"/>
          <w:szCs w:val="60"/>
        </w:rPr>
      </w:pPr>
      <w:r w:rsidDel="00000000" w:rsidR="00000000" w:rsidRPr="00000000">
        <w:rPr>
          <w:b w:val="1"/>
          <w:color w:val="990000"/>
          <w:sz w:val="60"/>
          <w:szCs w:val="60"/>
          <w:rtl w:val="0"/>
        </w:rPr>
        <w:t xml:space="preserve">Relatório de Resolução de Tabelas e Atributos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 Categorias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Atributos(tipo, modelo)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Necessitamos incrementar se o absorvente é de uso interno ou externo.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Modelo: Necessita-se de uma especificação do modelo do produto, já que existem mais de um modelo a ser oferecido pelo nosso e-commerce.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 Produtos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Atributos(nome, cor, valor, foto, descricao)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Para que apareça um nome de identificação e não apenas o número de id.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Cor: Para que a pessoa escolha a cor do produto que vai adquirir.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 É importante que o nosso cliente saiba o preço do que está adquirindo.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Foto: É para fácil identificação visual do produto para o cliente.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Importante para entender o propósito do produto e também seu diferencial.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 Usuários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Atributos(usuario, nome, senha, foto, data_de_nascimento)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Usuário: Email que precisa para entrar na sua conta.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Para identificar o usuário não apenas pelo seu id.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Para validar se quem está se conectando é o usuário ou não.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Foto: Identificação visual do cliente.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Nascimento: Para entender quais as necessidades dos nossos clientes conforme sua faixa etária.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