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Calibri" w:hAnsi="Calibri" w:eastAsia="Calibri"/>
          <w:b w:val="0"/>
          <w:i w:val="0"/>
          <w:color w:val="2B333F"/>
          <w:sz w:val="40"/>
        </w:rPr>
        <w:t>Plantilla de trabajo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211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 w:eastAsia="Calibri"/>
                <w:b/>
                <w:i w:val="0"/>
                <w:color w:val="2B333F"/>
                <w:sz w:val="20"/>
              </w:rPr>
              <w:t>Actor</w:t>
            </w:r>
          </w:p>
        </w:tc>
        <w:tc>
          <w:tcPr>
            <w:tcW w:type="dxa" w:w="2438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 w:eastAsia="Calibri"/>
                <w:b/>
                <w:i w:val="0"/>
                <w:color w:val="2B333F"/>
                <w:sz w:val="20"/>
              </w:rPr>
              <w:t>Dato que maneja</w:t>
            </w:r>
          </w:p>
        </w:tc>
        <w:tc>
          <w:tcPr>
            <w:tcW w:type="dxa" w:w="1984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 w:eastAsia="Calibri"/>
                <w:b/>
                <w:i w:val="0"/>
                <w:color w:val="2B333F"/>
                <w:sz w:val="20"/>
              </w:rPr>
              <w:t>Atributo CIA en riesgo</w:t>
            </w:r>
          </w:p>
        </w:tc>
        <w:tc>
          <w:tcPr>
            <w:tcW w:type="dxa" w:w="3572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 w:eastAsia="Calibri"/>
                <w:b/>
                <w:i w:val="0"/>
                <w:color w:val="2B333F"/>
                <w:sz w:val="20"/>
              </w:rPr>
              <w:t>Por qué</w:t>
            </w:r>
          </w:p>
        </w:tc>
      </w:tr>
      <w:tr>
        <w:tc>
          <w:tcPr>
            <w:tcW w:type="dxa" w:w="2211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/>
                <w:color w:val="2B333F"/>
                <w:sz w:val="19"/>
              </w:rPr>
              <w:t>Ejemplo: Cliente</w:t>
            </w:r>
          </w:p>
        </w:tc>
        <w:tc>
          <w:tcPr>
            <w:tcW w:type="dxa" w:w="2438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/>
                <w:color w:val="2B333F"/>
                <w:sz w:val="19"/>
              </w:rPr>
              <w:t>Número de tarjeta</w:t>
            </w:r>
          </w:p>
        </w:tc>
        <w:tc>
          <w:tcPr>
            <w:tcW w:type="dxa" w:w="1984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/>
                <w:color w:val="2B333F"/>
                <w:sz w:val="19"/>
              </w:rPr>
              <w:t>Confidencialidad</w:t>
            </w:r>
          </w:p>
        </w:tc>
        <w:tc>
          <w:tcPr>
            <w:tcW w:type="dxa" w:w="3572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/>
                <w:color w:val="2B333F"/>
                <w:sz w:val="19"/>
              </w:rPr>
              <w:t>Se transmite sin cifrar</w:t>
            </w:r>
          </w:p>
        </w:tc>
      </w:tr>
      <w:tr>
        <w:tc>
          <w:tcPr>
            <w:tcW w:type="dxa" w:w="2211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Persona trabajadora de obra</w:t>
            </w:r>
          </w:p>
        </w:tc>
        <w:tc>
          <w:tcPr>
            <w:tcW w:type="dxa" w:w="2438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PIN de firma (4 dígitos)</w:t>
            </w:r>
          </w:p>
        </w:tc>
        <w:tc>
          <w:tcPr>
            <w:tcW w:type="dxa" w:w="1984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Confidencialidad</w:t>
            </w:r>
          </w:p>
        </w:tc>
        <w:tc>
          <w:tcPr>
            <w:tcW w:type="dxa" w:w="3572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Es la credencial que autoriza toda firma; si se filtra, un tercero puede firmar en su nombre. Se guarda solo el hash (PIN + personaId + secreto), nunca en texto plano.</w:t>
            </w:r>
          </w:p>
        </w:tc>
      </w:tr>
      <w:tr>
        <w:tc>
          <w:tcPr>
            <w:tcW w:type="dxa" w:w="2211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Persona trabajadora de obra</w:t>
            </w:r>
          </w:p>
        </w:tc>
        <w:tc>
          <w:tcPr>
            <w:tcW w:type="dxa" w:w="2438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Firma digital y su token de verificación (SIG-…)</w:t>
            </w:r>
          </w:p>
        </w:tc>
        <w:tc>
          <w:tcPr>
            <w:tcW w:type="dxa" w:w="1984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Integridad</w:t>
            </w:r>
          </w:p>
        </w:tc>
        <w:tc>
          <w:tcPr>
            <w:tcW w:type="dxa" w:w="3572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Es la constancia legal que reemplaza la firma en papel: si el registro se altera o se duplica, pierde valor probatorio ante el DS 44. Se escribe inmutable con IP, timestamp y método.</w:t>
            </w:r>
          </w:p>
        </w:tc>
      </w:tr>
      <w:tr>
        <w:tc>
          <w:tcPr>
            <w:tcW w:type="dxa" w:w="2211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Persona trabajadora de obra</w:t>
            </w:r>
          </w:p>
        </w:tc>
        <w:tc>
          <w:tcPr>
            <w:tcW w:type="dxa" w:w="2438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Datos personales de identificación (RUT, nombre, cargo, obras asignadas)</w:t>
            </w:r>
          </w:p>
        </w:tc>
        <w:tc>
          <w:tcPr>
            <w:tcW w:type="dxa" w:w="1984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Confidencialidad</w:t>
            </w:r>
          </w:p>
        </w:tc>
        <w:tc>
          <w:tcPr>
            <w:tcW w:type="dxa" w:w="3572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Dato personal protegido por la Ley 19.628; viaja en cada firma y en el kit de onboarding, y no debe cruzarse entre empresas (tenants).</w:t>
            </w:r>
          </w:p>
        </w:tc>
      </w:tr>
      <w:tr>
        <w:tc>
          <w:tcPr>
            <w:tcW w:type="dxa" w:w="2211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Persona trabajadora de obra</w:t>
            </w:r>
          </w:p>
        </w:tc>
        <w:tc>
          <w:tcPr>
            <w:tcW w:type="dxa" w:w="2438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Firmas capturadas sin conexión (IndexedDB + offlineToken)</w:t>
            </w:r>
          </w:p>
        </w:tc>
        <w:tc>
          <w:tcPr>
            <w:tcW w:type="dxa" w:w="1984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Integridad</w:t>
            </w:r>
          </w:p>
        </w:tc>
        <w:tc>
          <w:tcPr>
            <w:tcW w:type="dxa" w:w="3572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El timestamp lo entrega el dispositivo del trabajador, que es manipulable; sin validar el token y la hora local, se podría antedatar una firma.</w:t>
            </w:r>
          </w:p>
        </w:tc>
      </w:tr>
      <w:tr>
        <w:tc>
          <w:tcPr>
            <w:tcW w:type="dxa" w:w="2211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Persona trabajadora de obra</w:t>
            </w:r>
          </w:p>
        </w:tc>
        <w:tc>
          <w:tcPr>
            <w:tcW w:type="dxa" w:w="2438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Acuse de recepción de EPP (Art. 13)</w:t>
            </w:r>
          </w:p>
        </w:tc>
        <w:tc>
          <w:tcPr>
            <w:tcW w:type="dxa" w:w="1984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Integridad</w:t>
            </w:r>
          </w:p>
        </w:tc>
        <w:tc>
          <w:tcPr>
            <w:tcW w:type="dxa" w:w="3572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Si la entrega pudiera autodeclararse, se registraría EPP nunca entregado. Por eso un validador confirma la entrega y la capacitación antes de habilitar la firma.</w:t>
            </w:r>
          </w:p>
        </w:tc>
      </w:tr>
      <w:tr>
        <w:tc>
          <w:tcPr>
            <w:tcW w:type="dxa" w:w="2211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Persona trabajadora de obra</w:t>
            </w:r>
          </w:p>
        </w:tc>
        <w:tc>
          <w:tcPr>
            <w:tcW w:type="dxa" w:w="2438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Registro de asistencia y atraso a charlas</w:t>
            </w:r>
          </w:p>
        </w:tc>
        <w:tc>
          <w:tcPr>
            <w:tcW w:type="dxa" w:w="1984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Integridad</w:t>
            </w:r>
          </w:p>
        </w:tc>
        <w:tc>
          <w:tcPr>
            <w:tcW w:type="dxa" w:w="3572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La hora de la firma define el atraso y la asistencia: un desfase de zona horaria (UTC vs. America/Santiago) o una firma fuera de fecha falsea el acta de la actividad.</w:t>
            </w:r>
          </w:p>
        </w:tc>
      </w:tr>
      <w:tr>
        <w:tc>
          <w:tcPr>
            <w:tcW w:type="dxa" w:w="2211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Persona trabajadora de obra</w:t>
            </w:r>
          </w:p>
        </w:tc>
        <w:tc>
          <w:tcPr>
            <w:tcW w:type="dxa" w:w="2438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Relato del incidente (texto, audio dictado y fotos de evidencia)</w:t>
            </w:r>
          </w:p>
        </w:tc>
        <w:tc>
          <w:tcPr>
            <w:tcW w:type="dxa" w:w="1984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Confidencialidad</w:t>
            </w:r>
          </w:p>
        </w:tc>
        <w:tc>
          <w:tcPr>
            <w:tcW w:type="dxa" w:w="3572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Contiene datos de salud del afectado y de testigos; su divulgación expone al trabajador y desincentiva el reporte de accidentes.</w:t>
            </w:r>
          </w:p>
        </w:tc>
      </w:tr>
      <w:tr>
        <w:tc>
          <w:tcPr>
            <w:tcW w:type="dxa" w:w="2211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Persona trabajadora de obra</w:t>
            </w:r>
          </w:p>
        </w:tc>
        <w:tc>
          <w:tcPr>
            <w:tcW w:type="dxa" w:w="2438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Evidencias de salud reutilizables (examen de altura, ingreso a vigilancia MINSAL)</w:t>
            </w:r>
          </w:p>
        </w:tc>
        <w:tc>
          <w:tcPr>
            <w:tcW w:type="dxa" w:w="1984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Confidencialidad</w:t>
            </w:r>
          </w:p>
        </w:tc>
        <w:tc>
          <w:tcPr>
            <w:tcW w:type="dxa" w:w="3572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Son datos sensibles de salud que se reutilizan entre obras; solo debe verse el estado de vigencia, no el contenido clínico.</w:t>
            </w:r>
          </w:p>
        </w:tc>
      </w:tr>
      <w:tr>
        <w:tc>
          <w:tcPr>
            <w:tcW w:type="dxa" w:w="2211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Persona trabajadora de obra</w:t>
            </w:r>
          </w:p>
        </w:tc>
        <w:tc>
          <w:tcPr>
            <w:tcW w:type="dxa" w:w="2438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Respuestas a encuestas de seguridad y salud</w:t>
            </w:r>
          </w:p>
        </w:tc>
        <w:tc>
          <w:tcPr>
            <w:tcW w:type="dxa" w:w="1984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Confidencialidad</w:t>
            </w:r>
          </w:p>
        </w:tc>
        <w:tc>
          <w:tcPr>
            <w:tcW w:type="dxa" w:w="3572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La respuesta honesta depende de que no quede asociada nominalmente al trabajador frente a su jefatura.</w:t>
            </w:r>
          </w:p>
        </w:tc>
      </w:tr>
      <w:tr>
        <w:tc>
          <w:tcPr>
            <w:tcW w:type="dxa" w:w="2211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Persona trabajadora de obra</w:t>
            </w:r>
          </w:p>
        </w:tc>
        <w:tc>
          <w:tcPr>
            <w:tcW w:type="dxa" w:w="2438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Bandeja de entrada con tareas de firma y re-firma</w:t>
            </w:r>
          </w:p>
        </w:tc>
        <w:tc>
          <w:tcPr>
            <w:tcW w:type="dxa" w:w="1984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Disponibilidad</w:t>
            </w:r>
          </w:p>
        </w:tc>
        <w:tc>
          <w:tcPr>
            <w:tcW w:type="dxa" w:w="3572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Es el único canal por el que se le avisa que debe firmar; si no llega o no carga, el documento queda pendiente y la obra incumple el plazo.</w:t>
            </w:r>
          </w:p>
        </w:tc>
      </w:tr>
      <w:tr>
        <w:tc>
          <w:tcPr>
            <w:tcW w:type="dxa" w:w="2211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Prevencionista de riesgos o supervisor de obra</w:t>
            </w:r>
          </w:p>
        </w:tc>
        <w:tc>
          <w:tcPr>
            <w:tcW w:type="dxa" w:w="2438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Asignación de cargo y rol a cada trabajador</w:t>
            </w:r>
          </w:p>
        </w:tc>
        <w:tc>
          <w:tcPr>
            <w:tcW w:type="dxa" w:w="1984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Integridad</w:t>
            </w:r>
          </w:p>
        </w:tc>
        <w:tc>
          <w:tcPr>
            <w:tcW w:type="dxa" w:w="3572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El cargo determina el kit documental DS 44 exigible; un cargo mal asignado omite ítems bloqueantes (p. ej. examen de altura) y habilita a alguien sin respaldo.</w:t>
            </w:r>
          </w:p>
        </w:tc>
      </w:tr>
      <w:tr>
        <w:tc>
          <w:tcPr>
            <w:tcW w:type="dxa" w:w="2211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Prevencionista de riesgos o supervisor de obra</w:t>
            </w:r>
          </w:p>
        </w:tc>
        <w:tc>
          <w:tcPr>
            <w:tcW w:type="dxa" w:w="2438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Archivos de documentos y procedimientos de obra (PDF en S3)</w:t>
            </w:r>
          </w:p>
        </w:tc>
        <w:tc>
          <w:tcPr>
            <w:tcW w:type="dxa" w:w="1984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Integridad</w:t>
            </w:r>
          </w:p>
        </w:tc>
        <w:tc>
          <w:tcPr>
            <w:tcW w:type="dxa" w:w="3572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Reemplazar el archivo de un procedimiento ya firmado dejaría firmas apuntando a un texto distinto; obliga a publicar nueva versión con motivo y re-firma.</w:t>
            </w:r>
          </w:p>
        </w:tc>
      </w:tr>
      <w:tr>
        <w:tc>
          <w:tcPr>
            <w:tcW w:type="dxa" w:w="2211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Prevencionista de riesgos o supervisor de obra</w:t>
            </w:r>
          </w:p>
        </w:tc>
        <w:tc>
          <w:tcPr>
            <w:tcW w:type="dxa" w:w="2438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Número de versión y motivo del cambio de un procedimiento</w:t>
            </w:r>
          </w:p>
        </w:tc>
        <w:tc>
          <w:tcPr>
            <w:tcW w:type="dxa" w:w="1984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Integridad</w:t>
            </w:r>
          </w:p>
        </w:tc>
        <w:tc>
          <w:tcPr>
            <w:tcW w:type="dxa" w:w="3572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Dos publicaciones simultáneas podrían perder una versión del historial; se controla con versionEsperada (control de concurrencia).</w:t>
            </w:r>
          </w:p>
        </w:tc>
      </w:tr>
      <w:tr>
        <w:tc>
          <w:tcPr>
            <w:tcW w:type="dxa" w:w="2211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Prevencionista de riesgos o supervisor de obra</w:t>
            </w:r>
          </w:p>
        </w:tc>
        <w:tc>
          <w:tcPr>
            <w:tcW w:type="dxa" w:w="2438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MIPER / matriz de identificación de peligros de la obra</w:t>
            </w:r>
          </w:p>
        </w:tc>
        <w:tc>
          <w:tcPr>
            <w:tcW w:type="dxa" w:w="1984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Integridad</w:t>
            </w:r>
          </w:p>
        </w:tc>
        <w:tc>
          <w:tcPr>
            <w:tcW w:type="dxa" w:w="3572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De ella derivan el IRL de cada cargo y el plazo del PTP (Art. 8); si se altera o no se versiona, todo el cumplimiento aguas abajo queda mal calculado.</w:t>
            </w:r>
          </w:p>
        </w:tc>
      </w:tr>
      <w:tr>
        <w:tc>
          <w:tcPr>
            <w:tcW w:type="dxa" w:w="2211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Prevencionista de riesgos o supervisor de obra</w:t>
            </w:r>
          </w:p>
        </w:tc>
        <w:tc>
          <w:tcPr>
            <w:tcW w:type="dxa" w:w="2438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Constancia de difusión a los representantes (comité paritario, delegado)</w:t>
            </w:r>
          </w:p>
        </w:tc>
        <w:tc>
          <w:tcPr>
            <w:tcW w:type="dxa" w:w="1984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Integridad</w:t>
            </w:r>
          </w:p>
        </w:tc>
        <w:tc>
          <w:tcPr>
            <w:tcW w:type="dxa" w:w="3572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Es exactamente la prueba que pide el fiscalizador; un registro de difusión editable o incompleto ('difundido sin representantes') equivale a incumplimiento.</w:t>
            </w:r>
          </w:p>
        </w:tc>
      </w:tr>
      <w:tr>
        <w:tc>
          <w:tcPr>
            <w:tcW w:type="dxa" w:w="2211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Prevencionista de riesgos o supervisor de obra</w:t>
            </w:r>
          </w:p>
        </w:tc>
        <w:tc>
          <w:tcPr>
            <w:tcW w:type="dxa" w:w="2438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Firma asistida o presencial registrada a nombre de un tercero</w:t>
            </w:r>
          </w:p>
        </w:tc>
        <w:tc>
          <w:tcPr>
            <w:tcW w:type="dxa" w:w="1984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Integridad</w:t>
            </w:r>
          </w:p>
        </w:tc>
        <w:tc>
          <w:tcPr>
            <w:tcW w:type="dxa" w:w="3572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Permite dejar constancia por otra persona; sin trazabilidad de quién la registró se podría imputar una firma no consentida.</w:t>
            </w:r>
          </w:p>
        </w:tc>
      </w:tr>
      <w:tr>
        <w:tc>
          <w:tcPr>
            <w:tcW w:type="dxa" w:w="2211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Prevencionista de riesgos o supervisor de obra</w:t>
            </w:r>
          </w:p>
        </w:tc>
        <w:tc>
          <w:tcPr>
            <w:tcW w:type="dxa" w:w="2438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Registro de ausencias del día (motivo por trabajador)</w:t>
            </w:r>
          </w:p>
        </w:tc>
        <w:tc>
          <w:tcPr>
            <w:tcW w:type="dxa" w:w="1984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Integridad</w:t>
            </w:r>
          </w:p>
        </w:tc>
        <w:tc>
          <w:tcPr>
            <w:tcW w:type="dxa" w:w="3572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Excluye a la persona del panel de pendientes de firma; manipularlo permite ocultar inasistencias reales a las charlas obligatorias.</w:t>
            </w:r>
          </w:p>
        </w:tc>
      </w:tr>
      <w:tr>
        <w:tc>
          <w:tcPr>
            <w:tcW w:type="dxa" w:w="2211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Prevencionista de riesgos o supervisor de obra</w:t>
            </w:r>
          </w:p>
        </w:tc>
        <w:tc>
          <w:tcPr>
            <w:tcW w:type="dxa" w:w="2438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Duración declarada y respaldo de evaluación de capacitaciones</w:t>
            </w:r>
          </w:p>
        </w:tc>
        <w:tc>
          <w:tcPr>
            <w:tcW w:type="dxa" w:w="1984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Integridad</w:t>
            </w:r>
          </w:p>
        </w:tc>
        <w:tc>
          <w:tcPr>
            <w:tcW w:type="dxa" w:w="3572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El sistema no mide las horas ni corrige la prueba: custodia lo declarado y su certificado, así que el dato declarado es el único sustento del Art. 13/16.</w:t>
            </w:r>
          </w:p>
        </w:tc>
      </w:tr>
      <w:tr>
        <w:tc>
          <w:tcPr>
            <w:tcW w:type="dxa" w:w="2211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Prevencionista de riesgos o supervisor de obra</w:t>
            </w:r>
          </w:p>
        </w:tc>
        <w:tc>
          <w:tcPr>
            <w:tcW w:type="dxa" w:w="2438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Alertas programadas de charlas vencidas y pendientes de firmar</w:t>
            </w:r>
          </w:p>
        </w:tc>
        <w:tc>
          <w:tcPr>
            <w:tcW w:type="dxa" w:w="1984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Disponibilidad</w:t>
            </w:r>
          </w:p>
        </w:tc>
        <w:tc>
          <w:tcPr>
            <w:tcW w:type="dxa" w:w="3572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Si la tarea programada no corre, nadie se entera de la actividad sin cerrar y se pierde la oportunidad de corregir el mismo día.</w:t>
            </w:r>
          </w:p>
        </w:tc>
      </w:tr>
      <w:tr>
        <w:tc>
          <w:tcPr>
            <w:tcW w:type="dxa" w:w="2211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Administrador de la constructora</w:t>
            </w:r>
          </w:p>
        </w:tc>
        <w:tc>
          <w:tcPr>
            <w:tcW w:type="dxa" w:w="2438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Credenciales de acceso web (contraseña y token JWT de sesión)</w:t>
            </w:r>
          </w:p>
        </w:tc>
        <w:tc>
          <w:tcPr>
            <w:tcW w:type="dxa" w:w="1984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Confidencialidad</w:t>
            </w:r>
          </w:p>
        </w:tc>
        <w:tc>
          <w:tcPr>
            <w:tcW w:type="dxa" w:w="3572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La cuenta admin tiene todos los permisos sobre la empresa; un token robado da control total del cumplimiento de todas las obras.</w:t>
            </w:r>
          </w:p>
        </w:tc>
      </w:tr>
      <w:tr>
        <w:tc>
          <w:tcPr>
            <w:tcW w:type="dxa" w:w="2211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Administrador de la constructora</w:t>
            </w:r>
          </w:p>
        </w:tc>
        <w:tc>
          <w:tcPr>
            <w:tcW w:type="dxa" w:w="2438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tenantId que aísla los datos de su empresa</w:t>
            </w:r>
          </w:p>
        </w:tc>
        <w:tc>
          <w:tcPr>
            <w:tcW w:type="dxa" w:w="1984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Confidencialidad</w:t>
            </w:r>
          </w:p>
        </w:tc>
        <w:tc>
          <w:tcPr>
            <w:tcW w:type="dxa" w:w="3572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Se extrae siempre del JWT y nunca del cuerpo de la petición: si se pudiera enviar, una empresa leería los datos de otra.</w:t>
            </w:r>
          </w:p>
        </w:tc>
      </w:tr>
      <w:tr>
        <w:tc>
          <w:tcPr>
            <w:tcW w:type="dxa" w:w="2211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Administrador de la constructora</w:t>
            </w:r>
          </w:p>
        </w:tc>
        <w:tc>
          <w:tcPr>
            <w:tcW w:type="dxa" w:w="2438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Catálogo de cargos y kits documentales DS 44 del tenant</w:t>
            </w:r>
          </w:p>
        </w:tc>
        <w:tc>
          <w:tcPr>
            <w:tcW w:type="dxa" w:w="1984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Integridad</w:t>
            </w:r>
          </w:p>
        </w:tc>
        <w:tc>
          <w:tcPr>
            <w:tcW w:type="dxa" w:w="3572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Es editable por la empresa: quitar un ítem del kit haría desaparecer una obligación legal del tablero de cumplimiento sin que se note.</w:t>
            </w:r>
          </w:p>
        </w:tc>
      </w:tr>
      <w:tr>
        <w:tc>
          <w:tcPr>
            <w:tcW w:type="dxa" w:w="2211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Administrador de la constructora</w:t>
            </w:r>
          </w:p>
        </w:tc>
        <w:tc>
          <w:tcPr>
            <w:tcW w:type="dxa" w:w="2438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Definición de permisos por rol (tenant.roles[].permisos)</w:t>
            </w:r>
          </w:p>
        </w:tc>
        <w:tc>
          <w:tcPr>
            <w:tcW w:type="dxa" w:w="1984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Integridad</w:t>
            </w:r>
          </w:p>
        </w:tc>
        <w:tc>
          <w:tcPr>
            <w:tcW w:type="dxa" w:w="3572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Un cambio indebido escala privilegios: por ejemplo, permitir que un trabajador se autoasigne o valide sus propios documentos.</w:t>
            </w:r>
          </w:p>
        </w:tc>
      </w:tr>
      <w:tr>
        <w:tc>
          <w:tcPr>
            <w:tcW w:type="dxa" w:w="2211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Administrador de la constructora</w:t>
            </w:r>
          </w:p>
        </w:tc>
        <w:tc>
          <w:tcPr>
            <w:tcW w:type="dxa" w:w="2438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Designación del representante legal que aprueba el PTP</w:t>
            </w:r>
          </w:p>
        </w:tc>
        <w:tc>
          <w:tcPr>
            <w:tcW w:type="dxa" w:w="1984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Integridad</w:t>
            </w:r>
          </w:p>
        </w:tc>
        <w:tc>
          <w:tcPr>
            <w:tcW w:type="dxa" w:w="3572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La aprobación del Art. 8 se valida contra esa designación; apuntarla a otra persona invalidaría la aprobación del Programa de Trabajo Preventivo.</w:t>
            </w:r>
          </w:p>
        </w:tc>
      </w:tr>
      <w:tr>
        <w:tc>
          <w:tcPr>
            <w:tcW w:type="dxa" w:w="2211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Administrador de la constructora</w:t>
            </w:r>
          </w:p>
        </w:tc>
        <w:tc>
          <w:tcPr>
            <w:tcW w:type="dxa" w:w="2438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Tablero multiobra de cumplimiento DS 44 (% por fase Deming)</w:t>
            </w:r>
          </w:p>
        </w:tc>
        <w:tc>
          <w:tcPr>
            <w:tcW w:type="dxa" w:w="1984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Disponibilidad</w:t>
            </w:r>
          </w:p>
        </w:tc>
        <w:tc>
          <w:tcPr>
            <w:tcW w:type="dxa" w:w="3572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Es el insumo para decidir dónde intervenir antes de una fiscalización; si no está disponible, la decisión se toma a ciegas.</w:t>
            </w:r>
          </w:p>
        </w:tc>
      </w:tr>
      <w:tr>
        <w:tc>
          <w:tcPr>
            <w:tcW w:type="dxa" w:w="2211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Dirección del Trabajo (fiscalizador)</w:t>
            </w:r>
          </w:p>
        </w:tc>
        <w:tc>
          <w:tcPr>
            <w:tcW w:type="dxa" w:w="2438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Expediente documental de la obra durante la fiscalización del FUF</w:t>
            </w:r>
          </w:p>
        </w:tc>
        <w:tc>
          <w:tcPr>
            <w:tcW w:type="dxa" w:w="1984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Disponibilidad</w:t>
            </w:r>
          </w:p>
        </w:tc>
        <w:tc>
          <w:tcPr>
            <w:tcW w:type="dxa" w:w="3572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Si los documentos no se pueden exhibir en el momento de la visita, el requisito se considera incumplido aunque exista el respaldo.</w:t>
            </w:r>
          </w:p>
        </w:tc>
      </w:tr>
      <w:tr>
        <w:tc>
          <w:tcPr>
            <w:tcW w:type="dxa" w:w="2211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Dirección del Trabajo (fiscalizador)</w:t>
            </w:r>
          </w:p>
        </w:tc>
        <w:tc>
          <w:tcPr>
            <w:tcW w:type="dxa" w:w="2438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Verificación pública de una firma por su token</w:t>
            </w:r>
          </w:p>
        </w:tc>
        <w:tc>
          <w:tcPr>
            <w:tcW w:type="dxa" w:w="1984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Integridad</w:t>
            </w:r>
          </w:p>
        </w:tc>
        <w:tc>
          <w:tcPr>
            <w:tcW w:type="dxa" w:w="3572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Debe confirmar que la firma existe y no fue alterada, sin exponer más datos personales que los necesarios para acreditarla.</w:t>
            </w:r>
          </w:p>
        </w:tc>
      </w:tr>
      <w:tr>
        <w:tc>
          <w:tcPr>
            <w:tcW w:type="dxa" w:w="2211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Dirección del Trabajo (fiscalizador)</w:t>
            </w:r>
          </w:p>
        </w:tc>
        <w:tc>
          <w:tcPr>
            <w:tcW w:type="dxa" w:w="2438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Historial inmutable de firmas y sus disputas</w:t>
            </w:r>
          </w:p>
        </w:tc>
        <w:tc>
          <w:tcPr>
            <w:tcW w:type="dxa" w:w="1984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Integridad</w:t>
            </w:r>
          </w:p>
        </w:tc>
        <w:tc>
          <w:tcPr>
            <w:tcW w:type="dxa" w:w="3572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El valor probatorio depende de que ninguna firma pueda editarse ni borrarse; solo puede cambiar de estado (válida / disputada / anulada) con traza.</w:t>
            </w:r>
          </w:p>
        </w:tc>
      </w:tr>
      <w:tr>
        <w:tc>
          <w:tcPr>
            <w:tcW w:type="dxa" w:w="2211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Dirección del Trabajo (fiscalizador)</w:t>
            </w:r>
          </w:p>
        </w:tc>
        <w:tc>
          <w:tcPr>
            <w:tcW w:type="dxa" w:w="2438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Registro Art. 72 e informe de indicadores Art. 71</w:t>
            </w:r>
          </w:p>
        </w:tc>
        <w:tc>
          <w:tcPr>
            <w:tcW w:type="dxa" w:w="1984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Integridad</w:t>
            </w:r>
          </w:p>
        </w:tc>
        <w:tc>
          <w:tcPr>
            <w:tcW w:type="dxa" w:w="3572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Son reportes que el sistema genera a partir de sus propios datos; un cálculo mal derivado constituye una declaración errónea ante la autoridad.</w:t>
            </w:r>
          </w:p>
        </w:tc>
      </w:tr>
      <w:tr>
        <w:tc>
          <w:tcPr>
            <w:tcW w:type="dxa" w:w="2211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Tercero: servicio de transcripción de audio (Google Gemini)</w:t>
            </w:r>
          </w:p>
        </w:tc>
        <w:tc>
          <w:tcPr>
            <w:tcW w:type="dxa" w:w="2438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Audio del relato de un incidente enviado a un servicio externo</w:t>
            </w:r>
          </w:p>
        </w:tc>
        <w:tc>
          <w:tcPr>
            <w:tcW w:type="dxa" w:w="1984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Confidencialidad</w:t>
            </w:r>
          </w:p>
        </w:tc>
        <w:tc>
          <w:tcPr>
            <w:tcW w:type="dxa" w:w="3572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El audio con datos de salud y nombres sale de la plataforma hacia un proveedor externo para convertirse en texto.</w:t>
            </w:r>
          </w:p>
        </w:tc>
      </w:tr>
      <w:tr>
        <w:tc>
          <w:tcPr>
            <w:tcW w:type="dxa" w:w="2211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Tercero: proveedor de SMS y correo</w:t>
            </w:r>
          </w:p>
        </w:tc>
        <w:tc>
          <w:tcPr>
            <w:tcW w:type="dxa" w:w="2438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Teléfono, correo y credenciales temporales de acceso</w:t>
            </w:r>
          </w:p>
        </w:tc>
        <w:tc>
          <w:tcPr>
            <w:tcW w:type="dxa" w:w="1984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Confidencialidad</w:t>
            </w:r>
          </w:p>
        </w:tc>
        <w:tc>
          <w:tcPr>
            <w:tcW w:type="dxa" w:w="3572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Las credenciales iniciales y los avisos viajan por un canal que no controla la plataforma y que puede ser interceptado o reenviado.</w:t>
            </w:r>
          </w:p>
        </w:tc>
      </w:tr>
      <w:tr>
        <w:tc>
          <w:tcPr>
            <w:tcW w:type="dxa" w:w="2211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Tercero: almacenamiento de archivos (S3) y enlaces prefirmados</w:t>
            </w:r>
          </w:p>
        </w:tc>
        <w:tc>
          <w:tcPr>
            <w:tcW w:type="dxa" w:w="2438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URL temporal de descarga de un documento o evidencia</w:t>
            </w:r>
          </w:p>
        </w:tc>
        <w:tc>
          <w:tcPr>
            <w:tcW w:type="dxa" w:w="1984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Confidencialidad</w:t>
            </w:r>
          </w:p>
        </w:tc>
        <w:tc>
          <w:tcPr>
            <w:tcW w:type="dxa" w:w="3572"/>
            <w:tcBorders>
              <w:top w:val="single" w:sz="8" w:space="0" w:color="2B333F"/>
              <w:left w:val="single" w:sz="8" w:space="0" w:color="2B333F"/>
              <w:bottom w:val="single" w:sz="8" w:space="0" w:color="2B333F"/>
              <w:right w:val="single" w:sz="8" w:space="0" w:color="2B333F"/>
            </w:tcBorders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2B333F"/>
                <w:sz w:val="19"/>
              </w:rPr>
              <w:t>El enlace prefirmado da acceso al archivo a quien lo tenga; si se comparte o no expira pronto, elude el control de permisos.</w:t>
            </w:r>
          </w:p>
        </w:tc>
      </w:tr>
    </w:tbl>
    <w:p>
      <w:pPr>
        <w:spacing w:after="0"/>
      </w:pPr>
    </w:p>
    <w:p>
      <w:pPr>
        <w:spacing w:before="120" w:after="120"/>
      </w:pPr>
      <w:r>
        <w:rPr>
          <w:rFonts w:ascii="Calibri" w:hAnsi="Calibri" w:eastAsia="Calibri"/>
          <w:b w:val="0"/>
          <w:i w:val="0"/>
          <w:color w:val="2B333F"/>
          <w:sz w:val="32"/>
        </w:rPr>
        <w:t>Entregable</w:t>
      </w:r>
    </w:p>
    <w:p>
      <w:r>
        <w:rPr>
          <w:rFonts w:ascii="Calibri" w:hAnsi="Calibri" w:eastAsia="Calibri"/>
          <w:b w:val="0"/>
          <w:i w:val="0"/>
          <w:color w:val="2B333F"/>
          <w:sz w:val="20"/>
        </w:rPr>
        <w:t>Plantilla con al menos 20 filas completas. Este documento contiene 32 filas de mapeo de actores y datos, más la fila de ejemplo de la plantilla original.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333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