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jc w:val="center"/>
      </w:pPr>
      <w:r>
        <w:rPr>
          <w:rFonts w:ascii="Arial" w:cs="Arial" w:eastAsia="Arial" w:hAnsi="Arial"/>
          <w:b/>
          <w:bCs/>
          <w:color w:val="0A2540"/>
          <w:sz w:val="88"/>
          <w:szCs w:val="88"/>
        </w:rPr>
        <w:t xml:space="preserve">AeroOS</w:t>
      </w:r>
    </w:p>
    <w:p>
      <w:pPr>
        <w:spacing w:after="80" w:before="0"/>
        <w:jc w:val="center"/>
      </w:pPr>
      <w:r>
        <w:rPr>
          <w:rFonts w:ascii="Arial" w:cs="Arial" w:eastAsia="Arial" w:hAnsi="Arial"/>
          <w:b/>
          <w:bCs/>
          <w:color w:val="1A56DB"/>
          <w:sz w:val="36"/>
          <w:szCs w:val="36"/>
        </w:rPr>
        <w:t xml:space="preserve">Cahier de conformité réglementaire</w:t>
      </w:r>
    </w:p>
    <w:p>
      <w:pPr>
        <w:pBdr>
          <w:bottom w:val="single" w:color="1A56DB" w:sz="6" w:space="8"/>
        </w:pBdr>
        <w:spacing w:after="600" w:before="0"/>
        <w:jc w:val="center"/>
      </w:pPr>
      <w:r>
        <w:rPr>
          <w:rFonts w:ascii="Arial" w:cs="Arial" w:eastAsia="Arial" w:hAnsi="Arial"/>
          <w:i/>
          <w:iCs/>
          <w:color w:val="6B7280"/>
          <w:sz w:val="24"/>
          <w:szCs w:val="24"/>
        </w:rPr>
        <w:t xml:space="preserve">RGPD · Sécurité financière · Réglementation aéronautique · Sanctions · Juridictions</w:t>
      </w:r>
    </w:p>
    <w:p>
      <w:pPr>
        <w:spacing w:after="240" w:before="0"/>
      </w:pPr>
      <w:r>
        <w:t xml:space="preserve"/>
      </w:r>
    </w:p>
    <w:p>
      <w:pPr>
        <w:jc w:val="center"/>
      </w:pPr>
      <w:r>
        <w:rPr>
          <w:rFonts w:ascii="Arial" w:cs="Arial" w:eastAsia="Arial" w:hAnsi="Arial"/>
          <w:color w:val="6B7280"/>
          <w:sz w:val="20"/>
          <w:szCs w:val="20"/>
        </w:rPr>
        <w:t xml:space="preserve">Version 1.0 — Juillet 2025 — Document confidentiel</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0. Pourquoi ce document existe</w:t>
      </w:r>
    </w:p>
    <w:p>
      <w:pPr>
        <w:spacing w:after="80" w:before="60" w:line="276"/>
      </w:pPr>
      <w:r>
        <w:rPr>
          <w:rFonts w:ascii="Arial" w:cs="Arial" w:eastAsia="Arial" w:hAnsi="Arial"/>
          <w:b w:val="false"/>
          <w:bCs w:val="false"/>
          <w:i w:val="false"/>
          <w:iCs w:val="false"/>
          <w:color w:val="111827"/>
          <w:sz w:val="22"/>
          <w:szCs w:val="22"/>
        </w:rPr>
        <w:t xml:space="preserve">AeroOS opère à l'intersection de deux des secteurs les plus réglementés au monde : l'aviation et la finance. La plateforme traite des données contractuelles liant des entités dans 30+ juridictions, des données financières soumises aux réglementations bancaires et d'investissement, des données personnelles de milliers d'utilisateurs professionnels, et des actifs pouvant tomber sous le coup de régimes de sanctions internationales.</w:t>
      </w:r>
    </w:p>
    <w:p>
      <w:pPr>
        <w:spacing w:after="8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Ce document a deux fonctions. La première est de cartographier exhaustivement les obligations réglementaires applicables, avec leur niveau de criticité et l'horizon d'implémentation. La seconde est de fixer les choix d'architecture de conformité qui doivent être faits au sprint S1 — ceux qui sont impossibles ou extrêmement coûteux à corriger après coup.</w:t>
      </w:r>
    </w:p>
    <w:p>
      <w:pPr>
        <w:spacing w:after="80" w:before="0"/>
      </w:pPr>
      <w:r>
        <w:t xml:space="preserve"/>
      </w:r>
    </w:p>
    <w:p>
      <w:pPr>
        <w:pBdr>
          <w:left w:val="single" w:color="991B1B" w:sz="16" w:space="10"/>
        </w:pBdr>
        <w:shd w:fill="FEE2E2" w:val="clear"/>
        <w:spacing w:after="120" w:before="120"/>
        <w:ind w:left="320"/>
      </w:pPr>
      <w:r>
        <w:rPr>
          <w:rFonts w:ascii="Arial" w:cs="Arial" w:eastAsia="Arial" w:hAnsi="Arial"/>
          <w:i/>
          <w:iCs/>
          <w:color w:val="374151"/>
          <w:sz w:val="21"/>
          <w:szCs w:val="21"/>
        </w:rPr>
        <w:t xml:space="preserve">Avertissement : ce document n'est pas un avis juridique. Il constitue un cadre de travail destiné à orienter les décisions techniques et organisationnelles. Chaque juridiction cible requiert une validation par un cabinet juridique spécialisé avant le lancement commercial.</w:t>
      </w:r>
    </w:p>
    <w:p>
      <w:pPr>
        <w:spacing w:after="16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Périmètre de ce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Juridictions couvertes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Union européenne · Irlande · Royaume-Uni · États-Unis · Singapour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Secteurs réglementaires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Protection des données · Cybersécurité · Finance · Aviation · Commerce international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Horizon temporel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MVP (M0–M12) · Phase 2 (M13–M24) · Phase 3 (M25+)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Niveau de détail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Exigences applicables · décisions d'architecture · actions concrètes · responsables · délais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Auteur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Équipe fondatrice AeroOS avec contribution externe (cabinet juridique à désigner)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Prochaine révision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À chaque lancement dans une nouvelle juridiction · annuellement sinon</w:t>
            </w:r>
          </w:p>
        </w:tc>
      </w:tr>
    </w:tbl>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1. Protection des données personnelles — RGPD et équivalents</w:t>
      </w:r>
    </w:p>
    <w:p>
      <w:pPr>
        <w:pStyle w:val="Heading2"/>
        <w:spacing w:after="140" w:before="320"/>
      </w:pPr>
      <w:r>
        <w:rPr>
          <w:rFonts w:ascii="Arial" w:cs="Arial" w:eastAsia="Arial" w:hAnsi="Arial"/>
          <w:b/>
          <w:bCs/>
          <w:color w:val="0A2540"/>
          <w:sz w:val="28"/>
          <w:szCs w:val="28"/>
        </w:rPr>
        <w:t xml:space="preserve">1.1 Données personnelles traitées par AeroOS</w:t>
      </w:r>
    </w:p>
    <w:p>
      <w:pPr>
        <w:spacing w:after="80" w:before="60" w:line="276"/>
      </w:pPr>
      <w:r>
        <w:rPr>
          <w:rFonts w:ascii="Arial" w:cs="Arial" w:eastAsia="Arial" w:hAnsi="Arial"/>
          <w:b w:val="false"/>
          <w:bCs w:val="false"/>
          <w:i w:val="false"/>
          <w:iCs w:val="false"/>
          <w:color w:val="111827"/>
          <w:sz w:val="22"/>
          <w:szCs w:val="22"/>
        </w:rPr>
        <w:t xml:space="preserve">AeroOS traite des données personnelles dans trois contextes distincts, chacun soumis à des règles spécifiques.</w:t>
      </w:r>
    </w:p>
    <w:p>
      <w:pPr>
        <w:spacing w:after="80" w:before="0"/>
      </w:pPr>
      <w:r>
        <w:t xml:space="preserve"/>
      </w:r>
    </w:p>
    <w:p>
      <w:pPr>
        <w:spacing w:after="80" w:before="220"/>
      </w:pPr>
      <w:r>
        <w:rPr>
          <w:rFonts w:ascii="Arial" w:cs="Arial" w:eastAsia="Arial" w:hAnsi="Arial"/>
          <w:b/>
          <w:bCs/>
          <w:color w:val="0694A2"/>
          <w:sz w:val="24"/>
          <w:szCs w:val="24"/>
        </w:rPr>
        <w:t xml:space="preserve">Contexte 1 — Données des utilisateurs de la plateforme</w:t>
      </w:r>
    </w:p>
    <w:p>
      <w:pPr>
        <w:spacing w:after="80" w:before="60" w:line="276"/>
      </w:pPr>
      <w:r>
        <w:rPr>
          <w:rFonts w:ascii="Arial" w:cs="Arial" w:eastAsia="Arial" w:hAnsi="Arial"/>
          <w:b w:val="false"/>
          <w:bCs w:val="false"/>
          <w:i w:val="false"/>
          <w:iCs w:val="false"/>
          <w:color w:val="111827"/>
          <w:sz w:val="22"/>
          <w:szCs w:val="22"/>
        </w:rPr>
        <w:t xml:space="preserve">Profils des utilisateurs professionnels (nom, prénom, adresse e-mail professionnelle, rôle, organisation). Ces données sont traitées sur la base du contrat (exécution du service SaaS). Durée de conservation : durée du contrat + 3 ans.</w:t>
      </w:r>
    </w:p>
    <w:p>
      <w:pPr>
        <w:spacing w:after="80" w:before="0"/>
      </w:pPr>
      <w:r>
        <w:t xml:space="preserve"/>
      </w:r>
    </w:p>
    <w:p>
      <w:pPr>
        <w:spacing w:after="80" w:before="220"/>
      </w:pPr>
      <w:r>
        <w:rPr>
          <w:rFonts w:ascii="Arial" w:cs="Arial" w:eastAsia="Arial" w:hAnsi="Arial"/>
          <w:b/>
          <w:bCs/>
          <w:color w:val="0694A2"/>
          <w:sz w:val="24"/>
          <w:szCs w:val="24"/>
        </w:rPr>
        <w:t xml:space="preserve">Contexte 2 — Données des tiers mentionnés dans les contrats</w:t>
      </w:r>
    </w:p>
    <w:p>
      <w:pPr>
        <w:spacing w:after="80" w:before="60" w:line="276"/>
      </w:pPr>
      <w:r>
        <w:rPr>
          <w:rFonts w:ascii="Arial" w:cs="Arial" w:eastAsia="Arial" w:hAnsi="Arial"/>
          <w:b w:val="false"/>
          <w:bCs w:val="false"/>
          <w:i w:val="false"/>
          <w:iCs w:val="false"/>
          <w:color w:val="111827"/>
          <w:sz w:val="22"/>
          <w:szCs w:val="22"/>
        </w:rPr>
        <w:t xml:space="preserve">Les contrats de leasing et documents associés peuvent mentionner des personnes physiques : signataires, dirigeants, contacts, garants. Ces données sont traitées sur la base de l'intérêt légitime du bailleur à conserver ses documents contractuels. Attention particulière aux données de ressortissants UE traités hors UE.</w:t>
      </w:r>
    </w:p>
    <w:p>
      <w:pPr>
        <w:spacing w:after="80" w:before="0"/>
      </w:pPr>
      <w:r>
        <w:t xml:space="preserve"/>
      </w:r>
    </w:p>
    <w:p>
      <w:pPr>
        <w:spacing w:after="80" w:before="220"/>
      </w:pPr>
      <w:r>
        <w:rPr>
          <w:rFonts w:ascii="Arial" w:cs="Arial" w:eastAsia="Arial" w:hAnsi="Arial"/>
          <w:b/>
          <w:bCs/>
          <w:color w:val="0694A2"/>
          <w:sz w:val="24"/>
          <w:szCs w:val="24"/>
        </w:rPr>
        <w:t xml:space="preserve">Contexte 3 — Données issues de l'IA</w:t>
      </w:r>
    </w:p>
    <w:p>
      <w:pPr>
        <w:spacing w:after="80" w:before="60" w:line="276"/>
      </w:pPr>
      <w:r>
        <w:rPr>
          <w:rFonts w:ascii="Arial" w:cs="Arial" w:eastAsia="Arial" w:hAnsi="Arial"/>
          <w:b w:val="false"/>
          <w:bCs w:val="false"/>
          <w:i w:val="false"/>
          <w:iCs w:val="false"/>
          <w:color w:val="111827"/>
          <w:sz w:val="22"/>
          <w:szCs w:val="22"/>
        </w:rPr>
        <w:t xml:space="preserve">Le pipeline d'extraction IA traite le contenu intégral des contrats PDF, pouvant inclure des données personnelles. Chaque extraction est tracée (modèle, version, date, utilisateur déclencheur). Les données extraites sont soumises aux mêmes règles que les données saisies manuellement.</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1.2 Exigences RGPD — tableau de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Exigence RGPD</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Implémentation AeroOS</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Décision d'architecture</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Statut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Base légale documentée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Contrat pour utilisateurs · Intérêt légitime pour données tiers dans contrats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Champ legal_basis sur chaque table de données personnelles</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Registre des traitements (Art. 30)</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Document interne listant tous les traitements, finalités, durées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Registre tenu par DPO ou CEO délégué · mis à jour à chaque nouveau module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Politique de confidentialité</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Page publique accessible avant inscription · version horodatée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Lien depuis le login · acceptation explicite à l'onboarding</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Droit d'accès et de portabilité</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Export des données utilisateur en JSON ou CSV sur demande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API interne /admin/export-user-data · délai 30 jours garanti</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Droit à l'effacement</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Soft delete + anonymisation après 30 jours · pseudonymisation des logs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Procédure documentée · champ anonymized_at · pas de hard delete immédiat</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Consentement transferts hors UE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Clauses contractuelles types (CCT) si données EU traitées aux USA</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Choix de région de stockage par tenant · pas de traitement hors EU par défaut</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DPO (si requis)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Non obligatoire au MVP (pas de traitement à grande échelle d'articles 9-10)</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Désigner un référent RGPD interne · DPO externe à envisager dès 50 clients</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DPIA (analyse d'impact)</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Requise pour le pipeline IA traitant des données contractuelles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DPIA à produire avant le lancement du module IA en beta</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Notification de violation (72h)</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Procédure d'incident définie · contact CNIL (ou DPC irlandais) identifié</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Runbook de gestion d'incident · notification automatique si breach détecté</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Conservation limitée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Durées définies par catégorie (voir section Documents du dossier fonctionnel)</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Scheduler de purge automatique · alertes avant expiration des durées</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1.3 Juridictions équivalentes au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UK GDPR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Post-Brexit, le Royaume-Uni a adopté un équivalent du RGPD. Les transfers UK→UE sont couverts par une décision d'adéquation. Aucune action supplémentaire si le contrat est conforme RGPD 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Singapore PDPA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Personal Data Protection Act. Moins contraignant que le RGPD mais exige une politique de confidentialité, un Data Protection Officer désigné, et des mesures de sécurité raisonnables. Applicable dès le premier client singapourien.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US (divers)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Pas de loi fédérale unique. CCPA applicable si clients en Californie. Les données financières sont soumises à Gramm-Leach-Bliley Act (GLBA). Analyse par État à mener avant expansion 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DPDP Act (Inde)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Digital Personal Data Protection Act 2023. Applicable si des utilisateurs ou des données de ressortissants indiens sont traités. À anticiper pour la phase asiatique.</w:t>
            </w:r>
          </w:p>
        </w:tc>
      </w:tr>
    </w:tbl>
    <w:p>
      <w:pPr>
        <w:spacing w:after="80" w:before="0"/>
      </w:pPr>
      <w:r>
        <w:t xml:space="preserve"/>
      </w:r>
    </w:p>
    <w:p>
      <w:pPr>
        <w:pBdr>
          <w:left w:val="single" w:color="065F46" w:sz="16" w:space="10"/>
        </w:pBdr>
        <w:shd w:fill="D1FAE5" w:val="clear"/>
        <w:spacing w:after="120" w:before="120"/>
        <w:ind w:left="320"/>
      </w:pPr>
      <w:r>
        <w:rPr>
          <w:rFonts w:ascii="Arial" w:cs="Arial" w:eastAsia="Arial" w:hAnsi="Arial"/>
          <w:i/>
          <w:iCs/>
          <w:color w:val="374151"/>
          <w:sz w:val="21"/>
          <w:szCs w:val="21"/>
        </w:rPr>
        <w:t xml:space="preserve">Décision d'architecture : le choix de l'Irlande comme juridiction principale est stratégique. La DPC (Data Protection Commission) irlandaise est l'autorité de contrôle pour les activités UE. De nombreuses grandes tech y sont établies pour les mêmes raisons.</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2. Cybersécurité et sécurité des systèmes d'information</w:t>
      </w:r>
    </w:p>
    <w:p>
      <w:pPr>
        <w:pStyle w:val="Heading2"/>
        <w:spacing w:after="140" w:before="320"/>
      </w:pPr>
      <w:r>
        <w:rPr>
          <w:rFonts w:ascii="Arial" w:cs="Arial" w:eastAsia="Arial" w:hAnsi="Arial"/>
          <w:b/>
          <w:bCs/>
          <w:color w:val="0A2540"/>
          <w:sz w:val="28"/>
          <w:szCs w:val="28"/>
        </w:rPr>
        <w:t xml:space="preserve">2.1 Cadre réglementaire applicable</w:t>
      </w:r>
    </w:p>
    <w:p>
      <w:pPr>
        <w:spacing w:after="80" w:before="60" w:line="276"/>
      </w:pPr>
      <w:r>
        <w:rPr>
          <w:rFonts w:ascii="Arial" w:cs="Arial" w:eastAsia="Arial" w:hAnsi="Arial"/>
          <w:b w:val="false"/>
          <w:bCs w:val="false"/>
          <w:i w:val="false"/>
          <w:iCs w:val="false"/>
          <w:color w:val="111827"/>
          <w:sz w:val="22"/>
          <w:szCs w:val="22"/>
        </w:rPr>
        <w:t xml:space="preserve">Deux cadres majeurs s'appliquent à AeroOS selon ses marchés cibles et la nature de ses données.</w:t>
      </w:r>
    </w:p>
    <w:p>
      <w:pPr>
        <w:spacing w:after="80" w:before="0"/>
      </w:pPr>
      <w:r>
        <w:t xml:space="preserve"/>
      </w:r>
    </w:p>
    <w:p>
      <w:pPr>
        <w:spacing w:after="80" w:before="220"/>
      </w:pPr>
      <w:r>
        <w:rPr>
          <w:rFonts w:ascii="Arial" w:cs="Arial" w:eastAsia="Arial" w:hAnsi="Arial"/>
          <w:b/>
          <w:bCs/>
          <w:color w:val="0694A2"/>
          <w:sz w:val="24"/>
          <w:szCs w:val="24"/>
        </w:rPr>
        <w:t xml:space="preserve">Directive NIS2 (UE — en vigueur depuis oct. 2024)</w:t>
      </w:r>
    </w:p>
    <w:p>
      <w:pPr>
        <w:spacing w:after="80" w:before="60" w:line="276"/>
      </w:pPr>
      <w:r>
        <w:rPr>
          <w:rFonts w:ascii="Arial" w:cs="Arial" w:eastAsia="Arial" w:hAnsi="Arial"/>
          <w:b w:val="false"/>
          <w:bCs w:val="false"/>
          <w:i w:val="false"/>
          <w:iCs w:val="false"/>
          <w:color w:val="111827"/>
          <w:sz w:val="22"/>
          <w:szCs w:val="22"/>
        </w:rPr>
        <w:t xml:space="preserve">AeroOS peut être qualifié d'entité importante au sens de NIS2 si son infrastructure devient critique pour des opérateurs de transport aérien (secteur visé explicitement). Les obligations incluent : gouvernance de la sécurité au niveau de la direction, gestion des risques cyber, notification d'incidents dans les 24h/72h, sécurité de la chaîne d'approvisionnement.</w:t>
      </w:r>
    </w:p>
    <w:p>
      <w:pPr>
        <w:pBdr>
          <w:left w:val="single" w:color="D97706" w:sz="16" w:space="10"/>
        </w:pBdr>
        <w:shd w:fill="FEF3C7" w:val="clear"/>
        <w:spacing w:after="120" w:before="120"/>
        <w:ind w:left="320"/>
      </w:pPr>
      <w:r>
        <w:rPr>
          <w:rFonts w:ascii="Arial" w:cs="Arial" w:eastAsia="Arial" w:hAnsi="Arial"/>
          <w:i/>
          <w:iCs/>
          <w:color w:val="374151"/>
          <w:sz w:val="21"/>
          <w:szCs w:val="21"/>
        </w:rPr>
        <w:t xml:space="preserve">NIS2 s'applique potentiellement dès que des compagnies aériennes deviennent clientes. Ne pas attendre une mise en demeure — préparer la conformité dès la phase 2.</w:t>
      </w:r>
    </w:p>
    <w:p>
      <w:pPr>
        <w:spacing w:after="80" w:before="0"/>
      </w:pPr>
      <w:r>
        <w:t xml:space="preserve"/>
      </w:r>
    </w:p>
    <w:p>
      <w:pPr>
        <w:spacing w:after="80" w:before="220"/>
      </w:pPr>
      <w:r>
        <w:rPr>
          <w:rFonts w:ascii="Arial" w:cs="Arial" w:eastAsia="Arial" w:hAnsi="Arial"/>
          <w:b/>
          <w:bCs/>
          <w:color w:val="0694A2"/>
          <w:sz w:val="24"/>
          <w:szCs w:val="24"/>
        </w:rPr>
        <w:t xml:space="preserve">ISO 27001</w:t>
      </w:r>
    </w:p>
    <w:p>
      <w:pPr>
        <w:spacing w:after="80" w:before="60" w:line="276"/>
      </w:pPr>
      <w:r>
        <w:rPr>
          <w:rFonts w:ascii="Arial" w:cs="Arial" w:eastAsia="Arial" w:hAnsi="Arial"/>
          <w:b w:val="false"/>
          <w:bCs w:val="false"/>
          <w:i w:val="false"/>
          <w:iCs w:val="false"/>
          <w:color w:val="111827"/>
          <w:sz w:val="22"/>
          <w:szCs w:val="22"/>
        </w:rPr>
        <w:t xml:space="preserve">Standard international de management de la sécurité de l'information. Non obligatoire légalement, mais exigé de facto par les clients enterprise et les investisseurs institutionnels. La certification ISO 27001 est l'objectif de la phase 2.</w:t>
      </w:r>
    </w:p>
    <w:p>
      <w:pPr>
        <w:spacing w:after="80" w:before="0"/>
      </w:pPr>
      <w:r>
        <w:t xml:space="preserve"/>
      </w:r>
    </w:p>
    <w:p>
      <w:pPr>
        <w:spacing w:after="80" w:before="220"/>
      </w:pPr>
      <w:r>
        <w:rPr>
          <w:rFonts w:ascii="Arial" w:cs="Arial" w:eastAsia="Arial" w:hAnsi="Arial"/>
          <w:b/>
          <w:bCs/>
          <w:color w:val="0694A2"/>
          <w:sz w:val="24"/>
          <w:szCs w:val="24"/>
        </w:rPr>
        <w:t xml:space="preserve">SOC 2 Type II</w:t>
      </w:r>
    </w:p>
    <w:p>
      <w:pPr>
        <w:spacing w:after="80" w:before="60" w:line="276"/>
      </w:pPr>
      <w:r>
        <w:rPr>
          <w:rFonts w:ascii="Arial" w:cs="Arial" w:eastAsia="Arial" w:hAnsi="Arial"/>
          <w:b w:val="false"/>
          <w:bCs w:val="false"/>
          <w:i w:val="false"/>
          <w:iCs w:val="false"/>
          <w:color w:val="111827"/>
          <w:sz w:val="22"/>
          <w:szCs w:val="22"/>
        </w:rPr>
        <w:t xml:space="preserve">Standard américain d'audit de sécurité (AICPA). Requis par les clients américains et les fonds d'investissement US. Couvre la disponibilité, la confidentialité, l'intégrité des données et la sécurité. L'audit SOC 2 Type II prend 6 à 12 mois. À lancer à M12 pour avoir le rapport à M18–M24.</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2.2 Exigences de sécurité — tableau de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Exigence de sécurité</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Implémentation technique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Décision d'architecture</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Statut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Chiffrement au repos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AES-256 sur toutes les bases de données et le stockage S3</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KMS géré par AWS/GCP · rotation des clés annuelle · clés par tenant envisageables en phase 2</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Chiffrement en transit</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TLS 1.3 minimum sur toutes les connexions · HSTS activé</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Rejet des connexions TLS &lt; 1.2 au niveau gateway · certificats auto-renouvelés (Let's Encrypt ou ACM)</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Authentification forte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MFA obligatoire pour tous les utilisateurs · SSO OAuth2/OIDC</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Pas de connexion possible sans MFA · sessions JWT courtes (15 min) + refresh tokens rotatifs</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Contrôle d'accès (RBAC)</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Rôles par module et par tenant · principe du moindre privilège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RBAC défini au sprint S1 · toute élévation de privilège logguée · révision trimestrielle des accès</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Isolation multi-tenant</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Row Level Security PostgreSQL · aucune requête cross-tenant possible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Tests d'isolation obligatoires dans la CI/CD · toute requête sans tenant_id est rejetée</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Audit log immuable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Service audit append-only · toute action utilisateur tracée</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Audit log stocké séparément des données applicatives · non modifiable même par les admins</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Penetration test</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Test externe semestriel par cabinet spécialisé</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Premier test avant beta clients (M5) · rapport fourni sur demande aux clients enterprise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Vulnerability management</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Scan automatique des dépendances (Dependabot) · CVE monitoring</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Pipeline CI/CD bloque si vulnérabilité critique non patchée · SLA patch critique &lt; 48h</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SIEM &amp; détection d'intrusion</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Logs centralisés OpenSearch · alertes sur patterns anormaux</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Règles de détection : tentatives brute force, exfiltration de données, accès hors horaires</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Sauvegarde et récupération</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Sauvegardes automatiques chiffrées · test de restauration mensuel</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RPO &lt; 1h · RTO &lt; 4h · sauvegardes multi-région · procédure de DR documentée et testée</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Gestion des secrets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Aucun secret en dur dans le code · variables d'environnement via Vault ou AWS Secrets Manager</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Rotation automatique des secrets · audit des accès aux secrets</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ISO 27001</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Certification du SMSI complet</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Gap analysis à M6 · préparation à M12 · audit de certification à M18</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SOC 2 Type II</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Audit par cabinet AICPA accrédité</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Readiness assessment à M12 · audit de 6 mois à partir de M12 · rapport à M18</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2.3 Gestion des incidents de sécurité — procédure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Détection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Alerte automatique SIEM ou signalement utilisateur. Tout incident potentiel est traité comme réel jusqu'à preuve du contraire.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Qualification (&lt; 2h)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L'astreinte technique qualifie la gravité (P1 critique / P2 élevé / P3 modéré) et active le plan de réponse correspondant.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Confinement (&lt; 4h)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Isolation du système affecté · révocation des accès suspects · snapshot forensique · préservation des logs.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Notification réglementaire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Incident données personnelles : notification CNIL/DPC dans les 72h (Art. 33 RGPD). Incident NIS2 : rapport préliminaire dans les 24h.</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Notification clients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Information des clients affectés dans les 72h · communication transparente · pas de minimisation.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Résolution &amp; post-mortem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RCA dans les 5 jours · mesures correctives documentées · rapport d'incident finalisé · mise à jour du registre des incidents.</w:t>
            </w:r>
          </w:p>
        </w:tc>
      </w:tr>
    </w:tbl>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3. Réglementation aéronautique</w:t>
      </w:r>
    </w:p>
    <w:p>
      <w:pPr>
        <w:pStyle w:val="Heading2"/>
        <w:spacing w:after="140" w:before="320"/>
      </w:pPr>
      <w:r>
        <w:rPr>
          <w:rFonts w:ascii="Arial" w:cs="Arial" w:eastAsia="Arial" w:hAnsi="Arial"/>
          <w:b/>
          <w:bCs/>
          <w:color w:val="0A2540"/>
          <w:sz w:val="28"/>
          <w:szCs w:val="28"/>
        </w:rPr>
        <w:t xml:space="preserve">3.1 Positionnement réglementaire d'AeroOS</w:t>
      </w:r>
    </w:p>
    <w:p>
      <w:pPr>
        <w:spacing w:after="80" w:before="60" w:line="276"/>
      </w:pPr>
      <w:r>
        <w:rPr>
          <w:rFonts w:ascii="Arial" w:cs="Arial" w:eastAsia="Arial" w:hAnsi="Arial"/>
          <w:b w:val="false"/>
          <w:bCs w:val="false"/>
          <w:i w:val="false"/>
          <w:iCs w:val="false"/>
          <w:color w:val="111827"/>
          <w:sz w:val="22"/>
          <w:szCs w:val="22"/>
        </w:rPr>
        <w:t xml:space="preserve">AeroOS est un éditeur de logiciels, pas un opérateur aérien, un organisme de maintenance agréé (Part 145) ou un organisme de gestion du maintien de navigabilité (Part CAMO). À ce titre, AeroOS n'est pas directement soumis aux réglementations EASA, FAA ou CAAS pour ses propres opérations.</w:t>
      </w:r>
    </w:p>
    <w:p>
      <w:pPr>
        <w:spacing w:after="8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En revanche, les données que la plateforme gère, les documents qu'elle stocke, et les workflows qu'elle supporte sont régis par ces réglementations. AeroOS doit garantir que son utilisation ne compromet pas la conformité réglementaire de ses clients.</w:t>
      </w:r>
    </w:p>
    <w:p>
      <w:pPr>
        <w:spacing w:after="80" w:before="0"/>
      </w:pPr>
      <w:r>
        <w:t xml:space="preserve"/>
      </w:r>
    </w:p>
    <w:p>
      <w:pPr>
        <w:pBdr>
          <w:left w:val="single" w:color="D97706" w:sz="16" w:space="10"/>
        </w:pBdr>
        <w:shd w:fill="FEF3C7" w:val="clear"/>
        <w:spacing w:after="120" w:before="120"/>
        <w:ind w:left="320"/>
      </w:pPr>
      <w:r>
        <w:rPr>
          <w:rFonts w:ascii="Arial" w:cs="Arial" w:eastAsia="Arial" w:hAnsi="Arial"/>
          <w:i/>
          <w:iCs/>
          <w:color w:val="374151"/>
          <w:sz w:val="21"/>
          <w:szCs w:val="21"/>
        </w:rPr>
        <w:t xml:space="preserve">Le risque réglementaire aéronautique pour AeroOS n'est pas direct — c'est un risque de responsabilité indirecte. Si un client utilise AeroOS pour gérer ses données de navigabilité et qu'une erreur dans la plateforme conduit à une décision incorrecte, la question de la responsabilité se pose. Les contrats clients doivent être rédigés en conséquence.</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3.2 Données aéronautiques réglementées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Type de donnée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Réglementation applicable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Obligation pour AeroOS</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Statut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Certificats de navigabilité (CofA)</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Part 21 · FAA FAR Part 21</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Stockage fidèle · horodatage d'expiration · alerte avant expiration · pas de modification possible</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Airworthiness Directives (AD)</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AD · FAA AD · autorités nationales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Traçabilité de l'état de conformité · lien vers le document source · historique des fermetures</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Service Bulletins (SB)</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Constructeur (Airbus, Boeing, CFM…)</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Suivi de l'applicabilité · état (ouvert / fermé / N/A) · date de clôture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Rapports de maintenance (C/D-Check, ESV)</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Part 145 · FAA FAR Part 145</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Conservation intégrale · non-modifiabilité · versioning · durée de rétention vie de l'actif</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Log books moteurs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 FAA · constructeur</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Continuité des données (pas de gap) · intégrité vérifiable · export possible pour inspection</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Life-Limited Parts (LLP) / Cycles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AMC 20-7 · FAA AC 39-8</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Traçabilité cycle par cycle · alertes avant épuisement des limites · aucune estimation tolérée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Certificats EASA Form 1 / FAA 8130-3</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EASA Part 21G · FAA FAR Part 21</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Stockage du document original · lien avec la pièce ou le composant concerné</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Certificate of Registration (CofR)</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Autorités nationales d'aviation</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Stockage · alerte expiration · lien avec l'immatriculation de l'actif</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3.3 Principes d'intégrité des données techniques</w:t>
      </w:r>
    </w:p>
    <w:p>
      <w:pPr>
        <w:spacing w:after="80" w:before="60" w:line="276"/>
      </w:pPr>
      <w:r>
        <w:rPr>
          <w:rFonts w:ascii="Arial" w:cs="Arial" w:eastAsia="Arial" w:hAnsi="Arial"/>
          <w:b w:val="false"/>
          <w:bCs w:val="false"/>
          <w:i w:val="false"/>
          <w:iCs w:val="false"/>
          <w:color w:val="111827"/>
          <w:sz w:val="22"/>
          <w:szCs w:val="22"/>
        </w:rPr>
        <w:t xml:space="preserve">Les données techniques aéronautiques sont soumises à des principes d'intégrité plus stricts que les données financières ou contractuelles. Les règles suivantes s'appliquent à toutes les données techniques dans AeroOS :</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Immuabilité : aucune donnée technique ne peut être modifiée une fois validée. Toute correction crée une nouvelle version avec justification obligatoire.</w:t>
      </w:r>
    </w:p>
    <w:p>
      <w:pPr>
        <w:pStyle w:val="ListParagraph"/>
        <w:numPr>
          <w:ilvl w:val="0"/>
          <w:numId w:val="2"/>
        </w:numPr>
        <w:spacing w:after="40" w:before="40"/>
      </w:pPr>
      <w:r>
        <w:rPr>
          <w:rFonts w:ascii="Arial" w:cs="Arial" w:eastAsia="Arial" w:hAnsi="Arial"/>
          <w:b w:val="false"/>
          <w:bCs w:val="false"/>
          <w:color w:val="111827"/>
          <w:sz w:val="22"/>
          <w:szCs w:val="22"/>
        </w:rPr>
        <w:t xml:space="preserve">Traçabilité complète : tout champ technique porte l'identité de la personne qui l'a saisi, la date, et le document source (si applicable).</w:t>
      </w:r>
    </w:p>
    <w:p>
      <w:pPr>
        <w:pStyle w:val="ListParagraph"/>
        <w:numPr>
          <w:ilvl w:val="0"/>
          <w:numId w:val="2"/>
        </w:numPr>
        <w:spacing w:after="40" w:before="40"/>
      </w:pPr>
      <w:r>
        <w:rPr>
          <w:rFonts w:ascii="Arial" w:cs="Arial" w:eastAsia="Arial" w:hAnsi="Arial"/>
          <w:b w:val="false"/>
          <w:bCs w:val="false"/>
          <w:color w:val="111827"/>
          <w:sz w:val="22"/>
          <w:szCs w:val="22"/>
        </w:rPr>
        <w:t xml:space="preserve">Source documentaire obligatoire : les cycles, heures et statuts de composants doivent être liés à un document justificatif (log book, rapport de maintenance). Les données sans source sont marquées comme non certifiées.</w:t>
      </w:r>
    </w:p>
    <w:p>
      <w:pPr>
        <w:pStyle w:val="ListParagraph"/>
        <w:numPr>
          <w:ilvl w:val="0"/>
          <w:numId w:val="2"/>
        </w:numPr>
        <w:spacing w:after="40" w:before="40"/>
      </w:pPr>
      <w:r>
        <w:rPr>
          <w:rFonts w:ascii="Arial" w:cs="Arial" w:eastAsia="Arial" w:hAnsi="Arial"/>
          <w:b w:val="false"/>
          <w:bCs w:val="false"/>
          <w:color w:val="111827"/>
          <w:sz w:val="22"/>
          <w:szCs w:val="22"/>
        </w:rPr>
        <w:t xml:space="preserve">Séparation des données certifiées et estimées : un champ estimé (par exemple, prochaine shop visit estimée par l'IA) ne peut jamais remplacer une donnée certifiée dans les calculs réglementaires.</w:t>
      </w:r>
    </w:p>
    <w:p>
      <w:pPr>
        <w:pStyle w:val="ListParagraph"/>
        <w:numPr>
          <w:ilvl w:val="0"/>
          <w:numId w:val="2"/>
        </w:numPr>
        <w:spacing w:after="40" w:before="40"/>
      </w:pPr>
      <w:r>
        <w:rPr>
          <w:rFonts w:ascii="Arial" w:cs="Arial" w:eastAsia="Arial" w:hAnsi="Arial"/>
          <w:b w:val="false"/>
          <w:bCs w:val="false"/>
          <w:color w:val="111827"/>
          <w:sz w:val="22"/>
          <w:szCs w:val="22"/>
        </w:rPr>
        <w:t xml:space="preserve">Export réglementaire : la plateforme doit pouvoir exporter les données techniques dans un format lisible par les autorités de surveillance (PDF structuré minimum).</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3.4 Clause de responsabilité — position contractuelle</w:t>
      </w:r>
    </w:p>
    <w:p>
      <w:pPr>
        <w:spacing w:after="80" w:before="60" w:line="276"/>
      </w:pPr>
      <w:r>
        <w:rPr>
          <w:rFonts w:ascii="Arial" w:cs="Arial" w:eastAsia="Arial" w:hAnsi="Arial"/>
          <w:b w:val="false"/>
          <w:bCs w:val="false"/>
          <w:i w:val="false"/>
          <w:iCs w:val="false"/>
          <w:color w:val="111827"/>
          <w:sz w:val="22"/>
          <w:szCs w:val="22"/>
        </w:rPr>
        <w:t xml:space="preserve">Les contrats clients d'AeroOS doivent inclure les clauses suivantes, validées par un cabinet juridique spécialisé en aviation :</w:t>
      </w:r>
    </w:p>
    <w:p>
      <w:pPr>
        <w:pStyle w:val="ListParagraph"/>
        <w:numPr>
          <w:ilvl w:val="0"/>
          <w:numId w:val="2"/>
        </w:numPr>
        <w:spacing w:after="40" w:before="40"/>
      </w:pPr>
      <w:r>
        <w:rPr>
          <w:rFonts w:ascii="Arial" w:cs="Arial" w:eastAsia="Arial" w:hAnsi="Arial"/>
          <w:b w:val="false"/>
          <w:bCs w:val="false"/>
          <w:color w:val="111827"/>
          <w:sz w:val="22"/>
          <w:szCs w:val="22"/>
        </w:rPr>
        <w:t xml:space="preserve">AeroOS est un outil d'aide à la gestion et à la décision. Il ne se substitue pas aux obligations réglementaires de l'opérateur ou du bailleur.</w:t>
      </w:r>
    </w:p>
    <w:p>
      <w:pPr>
        <w:pStyle w:val="ListParagraph"/>
        <w:numPr>
          <w:ilvl w:val="0"/>
          <w:numId w:val="2"/>
        </w:numPr>
        <w:spacing w:after="40" w:before="40"/>
      </w:pPr>
      <w:r>
        <w:rPr>
          <w:rFonts w:ascii="Arial" w:cs="Arial" w:eastAsia="Arial" w:hAnsi="Arial"/>
          <w:b w:val="false"/>
          <w:bCs w:val="false"/>
          <w:color w:val="111827"/>
          <w:sz w:val="22"/>
          <w:szCs w:val="22"/>
        </w:rPr>
        <w:t xml:space="preserve">La responsabilité de la conformité réglementaire des actifs reste entièrement à la charge du client.</w:t>
      </w:r>
    </w:p>
    <w:p>
      <w:pPr>
        <w:pStyle w:val="ListParagraph"/>
        <w:numPr>
          <w:ilvl w:val="0"/>
          <w:numId w:val="2"/>
        </w:numPr>
        <w:spacing w:after="40" w:before="40"/>
      </w:pPr>
      <w:r>
        <w:rPr>
          <w:rFonts w:ascii="Arial" w:cs="Arial" w:eastAsia="Arial" w:hAnsi="Arial"/>
          <w:b w:val="false"/>
          <w:bCs w:val="false"/>
          <w:color w:val="111827"/>
          <w:sz w:val="22"/>
          <w:szCs w:val="22"/>
        </w:rPr>
        <w:t xml:space="preserve">AeroOS garantit la fidélité du stockage des données saisies, pas l'exactitude des données à la source.</w:t>
      </w:r>
    </w:p>
    <w:p>
      <w:pPr>
        <w:pStyle w:val="ListParagraph"/>
        <w:numPr>
          <w:ilvl w:val="0"/>
          <w:numId w:val="2"/>
        </w:numPr>
        <w:spacing w:after="40" w:before="40"/>
      </w:pPr>
      <w:r>
        <w:rPr>
          <w:rFonts w:ascii="Arial" w:cs="Arial" w:eastAsia="Arial" w:hAnsi="Arial"/>
          <w:b w:val="false"/>
          <w:bCs w:val="false"/>
          <w:color w:val="111827"/>
          <w:sz w:val="22"/>
          <w:szCs w:val="22"/>
        </w:rPr>
        <w:t xml:space="preserve">Toute utilisation des données de la plateforme pour des décisions de navigabilité engage la seule responsabilité du client.</w:t>
      </w:r>
    </w:p>
    <w:p>
      <w:pPr>
        <w:pStyle w:val="ListParagraph"/>
        <w:numPr>
          <w:ilvl w:val="0"/>
          <w:numId w:val="2"/>
        </w:numPr>
        <w:spacing w:after="40" w:before="40"/>
      </w:pPr>
      <w:r>
        <w:rPr>
          <w:rFonts w:ascii="Arial" w:cs="Arial" w:eastAsia="Arial" w:hAnsi="Arial"/>
          <w:b w:val="false"/>
          <w:bCs w:val="false"/>
          <w:color w:val="111827"/>
          <w:sz w:val="22"/>
          <w:szCs w:val="22"/>
        </w:rPr>
        <w:t xml:space="preserve">Les données exportées depuis AeroOS sont fournies à titre informatif et doivent être vérifiées par le client avant tout usage réglementaire.</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4. Données financières et réglementation financière</w:t>
      </w:r>
    </w:p>
    <w:p>
      <w:pPr>
        <w:pStyle w:val="Heading2"/>
        <w:spacing w:after="140" w:before="320"/>
      </w:pPr>
      <w:r>
        <w:rPr>
          <w:rFonts w:ascii="Arial" w:cs="Arial" w:eastAsia="Arial" w:hAnsi="Arial"/>
          <w:b/>
          <w:bCs/>
          <w:color w:val="0A2540"/>
          <w:sz w:val="28"/>
          <w:szCs w:val="28"/>
        </w:rPr>
        <w:t xml:space="preserve">4.1 Nature des données financières traitées</w:t>
      </w:r>
    </w:p>
    <w:p>
      <w:pPr>
        <w:spacing w:after="80" w:before="60" w:line="276"/>
      </w:pPr>
      <w:r>
        <w:rPr>
          <w:rFonts w:ascii="Arial" w:cs="Arial" w:eastAsia="Arial" w:hAnsi="Arial"/>
          <w:b w:val="false"/>
          <w:bCs w:val="false"/>
          <w:i w:val="false"/>
          <w:iCs w:val="false"/>
          <w:color w:val="111827"/>
          <w:sz w:val="22"/>
          <w:szCs w:val="22"/>
        </w:rPr>
        <w:t xml:space="preserve">AeroOS traite des données financières de nature contractuelle (loyers, garanties, reserves), de valorisation (Base Value, CMV, Residual Value) et de portfolio (cash-flow, rendement, concentration des risques). Ces données ne constituent pas des instruments financiers au sens de MiFID II ou de la réglementation bancaire, mais leur traitement implique des obligations de confidentialité et de sécurité spécifiques.</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4.2 Obligations réglementaires financières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Obligation</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Cadre applicable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Implémentation AeroOS</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Statut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Confidentialité des données contractuelles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Secret des affaires (Directive UE 2016/943) · droit contractuel</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Isolation tenant stricte · NDA dans les CGU · accès audité · chiffrement</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Conservation des données financières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Droit comptable (7 ans UE) · droit irlandais (6 ans) · SOX si clients US cotés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Durée de rétention configurée à 10 ans pour les données financières · purge automatique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Reporting IFRS 16</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Norme comptable pour les preneurs (locataires) — gestion des droits d'utilisation</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Les données de loyers et durées exportées doivent être compatibles IFRS 16 · module à enrichir</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Lutte anti-blanchiment (LCB-FT)</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Directive AMLD6 (UE) · FinCEN (US)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AeroOS n'est pas un prestataire de services de paiement · pas d'obligation directe au MVP · vigilance sur les transactions marketplace</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Conseil en investissement</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MiFID II (UE) · MAS (Singapour) · SEC (US)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AeroOS ne fournit pas de conseils réglementés. Les recommandations IA sont des analyses, pas des conseils. Mention explicite dans les CGU.</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KYC / Vérification des contreparties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Pratique de marché pour lessors · exigé par les banques finançant les actifs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Stockage des documents KYC des contreparties dans le Document Vault · pas de vérification automatique au MVP</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4.3 Valorisation — positionnement réglementaire</w:t>
      </w:r>
    </w:p>
    <w:p>
      <w:pPr>
        <w:spacing w:after="80" w:before="60" w:line="276"/>
      </w:pPr>
      <w:r>
        <w:rPr>
          <w:rFonts w:ascii="Arial" w:cs="Arial" w:eastAsia="Arial" w:hAnsi="Arial"/>
          <w:b w:val="false"/>
          <w:bCs w:val="false"/>
          <w:i w:val="false"/>
          <w:iCs w:val="false"/>
          <w:color w:val="111827"/>
          <w:sz w:val="22"/>
          <w:szCs w:val="22"/>
        </w:rPr>
        <w:t xml:space="preserve">Le Valuation Engine d'AeroOS calcule des estimations de valeur (Base Value, CMV, Residual Value) sur la base de modèles algorithmiques. Ces estimations ne constituent pas des appraisals certifiés au sens des standards ISTAT / ASA / RICS.</w:t>
      </w:r>
    </w:p>
    <w:p>
      <w:pPr>
        <w:spacing w:after="80" w:before="0"/>
      </w:pPr>
      <w:r>
        <w:t xml:space="preserve"/>
      </w:r>
    </w:p>
    <w:p>
      <w:pPr>
        <w:pBdr>
          <w:left w:val="single" w:color="D97706" w:sz="16" w:space="10"/>
        </w:pBdr>
        <w:shd w:fill="FEF3C7" w:val="clear"/>
        <w:spacing w:after="120" w:before="120"/>
        <w:ind w:left="320"/>
      </w:pPr>
      <w:r>
        <w:rPr>
          <w:rFonts w:ascii="Arial" w:cs="Arial" w:eastAsia="Arial" w:hAnsi="Arial"/>
          <w:i/>
          <w:iCs/>
          <w:color w:val="374151"/>
          <w:sz w:val="21"/>
          <w:szCs w:val="21"/>
        </w:rPr>
        <w:t xml:space="preserve">Les valorisations AeroOS sont des outils d'aide à la décision. Elles ne peuvent pas remplacer un appraisal certifié par un appraiser accrédité pour les besoins de financement bancaire, de reporting réglementaire ou de litiges. Cette distinction doit apparaître explicitement dans l'interface et les exports.</w:t>
      </w:r>
    </w:p>
    <w:p>
      <w:pPr>
        <w:spacing w:after="8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Le document de valorisation exporté par AeroOS doit porter la mention : « Estimation calculée algorithmiquement par AeroOS sur la base de paramètres de marché. Ne constitue pas un appraisal certifié au sens des standards ISTAT/ASA. »</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5. Sanctions internationales et contrôle des exportations</w:t>
      </w:r>
    </w:p>
    <w:p>
      <w:pPr>
        <w:pStyle w:val="Heading2"/>
        <w:spacing w:after="140" w:before="320"/>
      </w:pPr>
      <w:r>
        <w:rPr>
          <w:rFonts w:ascii="Arial" w:cs="Arial" w:eastAsia="Arial" w:hAnsi="Arial"/>
          <w:b/>
          <w:bCs/>
          <w:color w:val="0A2540"/>
          <w:sz w:val="28"/>
          <w:szCs w:val="28"/>
        </w:rPr>
        <w:t xml:space="preserve">5.1 Pourquoi c'est critique pour AeroOS</w:t>
      </w:r>
    </w:p>
    <w:p>
      <w:pPr>
        <w:spacing w:after="80" w:before="60" w:line="276"/>
      </w:pPr>
      <w:r>
        <w:rPr>
          <w:rFonts w:ascii="Arial" w:cs="Arial" w:eastAsia="Arial" w:hAnsi="Arial"/>
          <w:b w:val="false"/>
          <w:bCs w:val="false"/>
          <w:i w:val="false"/>
          <w:iCs w:val="false"/>
          <w:color w:val="111827"/>
          <w:sz w:val="22"/>
          <w:szCs w:val="22"/>
        </w:rPr>
        <w:t xml:space="preserve">L'industrie aéronautique est l'une des plus exposées aux régimes de sanctions internationaux. Depuis 2022, plus de 500 avions opérés par des compagnies russes font l'objet de litiges internationaux entre lessors occidentaux et l'État russe. Des compagnies iraniennes, nord-coréennes et vénézuéliennes opèrent sous sanctions strictes.</w:t>
      </w:r>
    </w:p>
    <w:p>
      <w:pPr>
        <w:spacing w:after="8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AeroOS doit éviter deux risques distincts : devenir involontairement un outil utilisé par des entités sanctionnées, et héberger des données sur des transactions violant les régimes de sanctions.</w:t>
      </w:r>
    </w:p>
    <w:p>
      <w:pPr>
        <w:spacing w:after="80" w:before="0"/>
      </w:pPr>
      <w:r>
        <w:t xml:space="preserve"/>
      </w:r>
    </w:p>
    <w:p>
      <w:pPr>
        <w:pBdr>
          <w:left w:val="single" w:color="991B1B" w:sz="16" w:space="10"/>
        </w:pBdr>
        <w:shd w:fill="FEE2E2" w:val="clear"/>
        <w:spacing w:after="120" w:before="120"/>
        <w:ind w:left="320"/>
      </w:pPr>
      <w:r>
        <w:rPr>
          <w:rFonts w:ascii="Arial" w:cs="Arial" w:eastAsia="Arial" w:hAnsi="Arial"/>
          <w:i/>
          <w:iCs/>
          <w:color w:val="374151"/>
          <w:sz w:val="21"/>
          <w:szCs w:val="21"/>
        </w:rPr>
        <w:t xml:space="preserve">Le non-respect des sanctions OFAC (US), UE ou SECO (Suisse) expose à des amendes pouvant dépasser 1 million de dollars par violation, à des poursuites pénales, et à une interdiction d'opérer sur les marchés américains. Ce risque doit être traité avec la même priorité que la sécurité informatique.</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5.2 Régimes de sanctions applicables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OFAC (US Treasury)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Office of Foreign Assets Control. Sanctions américaines unilatérales. S'applique à toute entité ayant un lien avec les USA (siège, serveurs, employés, investisseurs). SDN List : entités et personnes bloquées. Pénalités : jusqu'à $1M par violation + poursuites pénales.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Règlements 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Sanctions UE adoptées par le Conseil de l'UE. Applicables à toutes les entités opérant dans l'UE ou traitant des données d'entités UE. Gel des avoirs, interdictions de transactions, restrictions sectorielles (Russie, Iran, Biélorussie, Myanmar...).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UK OFSI</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Office of Financial Sanctions Implementation. Équivalent UK post-Brexit des sanctions UE. Applicable aux entités UK ou traitant des actifs UK.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Export Controls (EAR/ITAR)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US Export Administration Regulations et International Traffic in Arms Regulations. S'applique à l'export de technologies à usage dual ou militaire. Certains logiciels d'aviation peuvent tomber sous EAR si exportés vers certains pays.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SECO (Suisse)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Applicable si des clients ou des actifs sont localisés en Suisse. Sanctions suisses alignées sur les sanctions UE depuis 2022.</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5.3 Obligations de screening et de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Obligation</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Implémentation requise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Déclencheur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Statut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Screening des contreparties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Vérification des locataires, bailleurs et toute entité enregistrée contre les listes de sanctions (SDN OFAC, liste UE consolidée)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À l'onboarding de chaque nouvelle contrepartie · annuellement pour les contreparties existantes</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Screening des actifs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Vérification de l'immatriculation et de l'historique des opérateurs d'un actif</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À l'enregistrement d'un actif · à chaque changement d'opérateur</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Détection de clauses sanctions dans les contrats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Le pipeline IA doit détecter et signaler les clauses sanctions dans les contrats uploadés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À chaque extraction IA d'un contrat · marqué pour révision humaine obligatoire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Blocage des pays sous embargo total</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Liste de pays bloqués configurée · onboarding impossible pour entités de ces pays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Configuration au niveau tenant et au niveau plateforme</w:t>
            </w:r>
          </w:p>
        </w:tc>
        <w:tc>
          <w:tcPr>
            <w:tcW w:type="dxa" w:w="9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7"/>
                <w:szCs w:val="17"/>
              </w:rPr>
              <w:t xml:space="preserve">Natif</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Audit trail des vérifications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Chaque screening est enregistré : date, liste consultée, résultat, action prise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Permanent · exportable pour audit externe</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Procédure de gel d'actif</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Si une contrepartie est ajoutée à une liste de sanctions après onboarding : procédure d'escalade et de gel</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Alerte automatique si une contrepartie existante apparaît dans une mise à jour des listes</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Phase 2</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Formation de l'équipe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Tous les employés ayant accès aux données clients formés aux obligations sanctions</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Formation à l'onboarding + annuellement</w:t>
            </w:r>
          </w:p>
        </w:tc>
        <w:tc>
          <w:tcPr>
            <w:tcW w:type="dxa" w:w="9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7"/>
                <w:szCs w:val="17"/>
              </w:rPr>
              <w:t xml:space="preserve">Phase 1</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5.4 Architecture de screening — décisions techniques</w:t>
      </w:r>
    </w:p>
    <w:p>
      <w:pPr>
        <w:spacing w:after="80" w:before="60" w:line="276"/>
      </w:pPr>
      <w:r>
        <w:rPr>
          <w:rFonts w:ascii="Arial" w:cs="Arial" w:eastAsia="Arial" w:hAnsi="Arial"/>
          <w:b w:val="false"/>
          <w:bCs w:val="false"/>
          <w:i w:val="false"/>
          <w:iCs w:val="false"/>
          <w:color w:val="111827"/>
          <w:sz w:val="22"/>
          <w:szCs w:val="22"/>
        </w:rPr>
        <w:t xml:space="preserve">Le screening des sanctions ne peut pas être implémenté manuellement à l'échelle. Les décisions techniques suivantes sont requises dès le sprint S4 :</w:t>
      </w:r>
    </w:p>
    <w:p>
      <w:pPr>
        <w:pStyle w:val="ListParagraph"/>
        <w:numPr>
          <w:ilvl w:val="0"/>
          <w:numId w:val="2"/>
        </w:numPr>
        <w:spacing w:after="40" w:before="40"/>
      </w:pPr>
      <w:r>
        <w:rPr>
          <w:rFonts w:ascii="Arial" w:cs="Arial" w:eastAsia="Arial" w:hAnsi="Arial"/>
          <w:b w:val="false"/>
          <w:bCs w:val="false"/>
          <w:color w:val="111827"/>
          <w:sz w:val="22"/>
          <w:szCs w:val="22"/>
        </w:rPr>
        <w:t xml:space="preserve">Intégration d'une API de screening spécialisée (Refinitiv World-Check, Dow Jones Risk &amp; Compliance, ComplyAdvantage) — budget estimé €8 000–15 000/an selon le volume.</w:t>
      </w:r>
    </w:p>
    <w:p>
      <w:pPr>
        <w:pStyle w:val="ListParagraph"/>
        <w:numPr>
          <w:ilvl w:val="0"/>
          <w:numId w:val="2"/>
        </w:numPr>
        <w:spacing w:after="40" w:before="40"/>
      </w:pPr>
      <w:r>
        <w:rPr>
          <w:rFonts w:ascii="Arial" w:cs="Arial" w:eastAsia="Arial" w:hAnsi="Arial"/>
          <w:b w:val="false"/>
          <w:bCs w:val="false"/>
          <w:color w:val="111827"/>
          <w:sz w:val="22"/>
          <w:szCs w:val="22"/>
        </w:rPr>
        <w:t xml:space="preserve">Chaque entité (opérateur, bailleur, locataire) reçoit un champ sanctions_status (clear / flagged / blocked) et sanctions_checked_at.</w:t>
      </w:r>
    </w:p>
    <w:p>
      <w:pPr>
        <w:pStyle w:val="ListParagraph"/>
        <w:numPr>
          <w:ilvl w:val="0"/>
          <w:numId w:val="2"/>
        </w:numPr>
        <w:spacing w:after="40" w:before="40"/>
      </w:pPr>
      <w:r>
        <w:rPr>
          <w:rFonts w:ascii="Arial" w:cs="Arial" w:eastAsia="Arial" w:hAnsi="Arial"/>
          <w:b w:val="false"/>
          <w:bCs w:val="false"/>
          <w:color w:val="111827"/>
          <w:sz w:val="22"/>
          <w:szCs w:val="22"/>
        </w:rPr>
        <w:t xml:space="preserve">Le dashboard portfolio affiche une alerte visuelle sur tout actif dont la contrepartie a un statut 'flagged'.</w:t>
      </w:r>
    </w:p>
    <w:p>
      <w:pPr>
        <w:pStyle w:val="ListParagraph"/>
        <w:numPr>
          <w:ilvl w:val="0"/>
          <w:numId w:val="2"/>
        </w:numPr>
        <w:spacing w:after="40" w:before="40"/>
      </w:pPr>
      <w:r>
        <w:rPr>
          <w:rFonts w:ascii="Arial" w:cs="Arial" w:eastAsia="Arial" w:hAnsi="Arial"/>
          <w:b w:val="false"/>
          <w:bCs w:val="false"/>
          <w:color w:val="111827"/>
          <w:sz w:val="22"/>
          <w:szCs w:val="22"/>
        </w:rPr>
        <w:t xml:space="preserve">Aucun nouveau contrat ne peut être enregistré si le locataire ou le bailleur est en statut 'blocked'.</w:t>
      </w:r>
    </w:p>
    <w:p>
      <w:pPr>
        <w:pStyle w:val="ListParagraph"/>
        <w:numPr>
          <w:ilvl w:val="0"/>
          <w:numId w:val="2"/>
        </w:numPr>
        <w:spacing w:after="40" w:before="40"/>
      </w:pPr>
      <w:r>
        <w:rPr>
          <w:rFonts w:ascii="Arial" w:cs="Arial" w:eastAsia="Arial" w:hAnsi="Arial"/>
          <w:b w:val="false"/>
          <w:bCs w:val="false"/>
          <w:color w:val="111827"/>
          <w:sz w:val="22"/>
          <w:szCs w:val="22"/>
        </w:rPr>
        <w:t xml:space="preserve">Les mises à jour des listes de sanctions sont importées au minimum hebdomadairement.</w:t>
      </w:r>
    </w:p>
    <w:p>
      <w:pPr>
        <w:spacing w:after="80" w:before="0"/>
      </w:pPr>
      <w:r>
        <w:t xml:space="preserve"/>
      </w:r>
    </w:p>
    <w:p>
      <w:pPr>
        <w:pBdr>
          <w:left w:val="single" w:color="065F46" w:sz="16" w:space="10"/>
        </w:pBdr>
        <w:shd w:fill="D1FAE5" w:val="clear"/>
        <w:spacing w:after="120" w:before="120"/>
        <w:ind w:left="320"/>
      </w:pPr>
      <w:r>
        <w:rPr>
          <w:rFonts w:ascii="Arial" w:cs="Arial" w:eastAsia="Arial" w:hAnsi="Arial"/>
          <w:i/>
          <w:iCs/>
          <w:color w:val="374151"/>
          <w:sz w:val="21"/>
          <w:szCs w:val="21"/>
        </w:rPr>
        <w:t xml:space="preserve">Avantage concurrentiel : la majorité des lessors mid-market n'ont pas de système de screening automatisé. AeroOS devient un outil de mise en conformité que leurs banques leur demanderont d'utiliser.</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6. Analyse par juridiction cible</w:t>
      </w:r>
    </w:p>
    <w:p>
      <w:pPr>
        <w:pStyle w:val="Heading2"/>
        <w:spacing w:after="140" w:before="320"/>
      </w:pPr>
      <w:r>
        <w:rPr>
          <w:rFonts w:ascii="Arial" w:cs="Arial" w:eastAsia="Arial" w:hAnsi="Arial"/>
          <w:b/>
          <w:bCs/>
          <w:color w:val="0A2540"/>
          <w:sz w:val="28"/>
          <w:szCs w:val="28"/>
        </w:rPr>
        <w:t xml:space="preserve">6.1 Irlande — juridiction principale</w:t>
      </w:r>
    </w:p>
    <w:p>
      <w:pPr>
        <w:spacing w:after="80" w:before="60" w:line="276"/>
      </w:pPr>
      <w:r>
        <w:rPr>
          <w:rFonts w:ascii="Arial" w:cs="Arial" w:eastAsia="Arial" w:hAnsi="Arial"/>
          <w:b w:val="false"/>
          <w:bCs w:val="false"/>
          <w:i w:val="false"/>
          <w:iCs w:val="false"/>
          <w:color w:val="111827"/>
          <w:sz w:val="22"/>
          <w:szCs w:val="22"/>
        </w:rPr>
        <w:t xml:space="preserve">L'Irlande est la juridiction naturelle pour AeroOS. Dublin héberge les sièges sociaux de la majorité des grands lessors mondiaux (AerCap, SMBC Aviation Capital, Avolon, GECAS devenu AerCap). La réglementation irlandaise est favorable, le régime fiscal attractif (12.5% IS), et l'écosystème aéronautique dense.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Autorité de protection des données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DPC — Data Protection Commission (Dublin). Autorité chef de file pour 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Droit applicable aux contrats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Companies Act 2014 · Contract Law irlandais · droit de l'UE.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Régime fiscal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12.5% IS sur les bénéfices trading · résidence fiscale des entités à structurer dès M0.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Avantages spécifiques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Personnel qualifié disponible · réseau leasing dense · tribunaux commerciaux efficaces · English-speaking.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Actions requises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Constitution d'une entité irlandaise dès M0 · ouverture compte bancaire (Bank of Ireland ou AIB) · enregistrement DPC si traitement données personnelles à grande échelle.</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6.2 Singapour — expansion Asie-Pacifique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Autorité de protection des données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PDPC — Personal Data Protection Commission. PDPA applicable.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Régime financier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MAS — Monetary Authority of Singapore. Surveillance des activités financières.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Autorité aviation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CAAS — Civil Aviation Authority of Singapore.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Avantages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Hub asiatique pour le leasing · présence de BOC Aviation, CALC, BBAM · régime fiscal favorable.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Actions requises à l'entrée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Désigner un Data Protection Officer local · adapter la politique de confidentialité au PDPA · vérifier si activités soumises à licence MAS.</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6.3 États-Unis — expansion Amérique du Nord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Complexité réglementaire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Pas de loi fédérale unique sur la protection des données. Patchwork d'États (CCPA Californie, CDPA Virginie...).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Réglementation aviation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FAA — Federal Aviation Administration. Données techniques doivent être compatibles FAA si actifs immatriculés 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Sanctions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OFAC est le régulateur le plus strict au monde. Compliance OFAC non négociable dès le premier client 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SOC 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Requis par pratiquement tous les clients enterprise US. Lancer le process à M12.</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Actions requises à l'entrée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Analyse CCPA si clients californiens · conformité OFAC (screening API) · conseil juridique US · SOC 2 readiness assessment.</w:t>
            </w:r>
          </w:p>
        </w:tc>
      </w:tr>
    </w:tbl>
    <w:p>
      <w:pPr>
        <w:spacing w:after="160" w:before="0"/>
      </w:pPr>
      <w:r>
        <w:t xml:space="preserve"/>
      </w:r>
    </w:p>
    <w:p>
      <w:pPr>
        <w:pStyle w:val="Heading2"/>
        <w:spacing w:after="140" w:before="320"/>
      </w:pPr>
      <w:r>
        <w:rPr>
          <w:rFonts w:ascii="Arial" w:cs="Arial" w:eastAsia="Arial" w:hAnsi="Arial"/>
          <w:b/>
          <w:bCs/>
          <w:color w:val="0A2540"/>
          <w:sz w:val="28"/>
          <w:szCs w:val="28"/>
        </w:rPr>
        <w:t xml:space="preserve">6.4 Tableau récapitulatif des actions par juridiction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30"/>
        <w:gridCol w:w="3030"/>
        <w:gridCol w:w="900"/>
      </w:tblGrid>
      <w:tr>
        <w:tc>
          <w:tcPr>
            <w:tcW w:type="dxa" w:w="2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Action</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UE/Irlande</w:t>
            </w:r>
          </w:p>
        </w:tc>
        <w:tc>
          <w:tcPr>
            <w:tcW w:type="dxa" w:w="303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Singapour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8"/>
                <w:szCs w:val="18"/>
              </w:rPr>
              <w:t xml:space="preserve">États-Unis</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Entité juridique locale</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Obligatoire dès M0</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Phase 2</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Phase 3</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Politique de confidentialité</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RGPD dès M0</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PDPA à l'entrée</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CCPA si CA</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DPO / Data Protection contact</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Référent interne M0</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DPO désigné requis</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Pas obligatoire fédéral</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Screening sanctions</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Listes UE + OFAC M4</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MAS + OFAC M4</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OFAC obligatoire</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Audit de sécurité</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Pen test M5</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Pen test M5</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SOC 2 M12</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bCs/>
                <w:color w:val="0A2540"/>
                <w:sz w:val="18"/>
                <w:szCs w:val="18"/>
              </w:rPr>
              <w:t xml:space="preserve">Certification sécurité</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ISO 27001 M18</w:t>
            </w:r>
          </w:p>
        </w:tc>
        <w:tc>
          <w:tcPr>
            <w:tcW w:type="dxa" w:w="303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ISO 27001 M18</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SOC 2 Type II M18</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bCs/>
                <w:color w:val="0A2540"/>
                <w:sz w:val="18"/>
                <w:szCs w:val="18"/>
              </w:rPr>
              <w:t xml:space="preserve">Conseil juridique local</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Cabinet irlandais M0</w:t>
            </w:r>
          </w:p>
        </w:tc>
        <w:tc>
          <w:tcPr>
            <w:tcW w:type="dxa" w:w="303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Cabinet SG phase 2</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center"/>
            </w:pPr>
            <w:r>
              <w:rPr>
                <w:rFonts w:ascii="Arial" w:cs="Arial" w:eastAsia="Arial" w:hAnsi="Arial"/>
                <w:b/>
                <w:bCs/>
                <w:color w:val="6B7280"/>
                <w:sz w:val="17"/>
                <w:szCs w:val="17"/>
              </w:rPr>
              <w:t xml:space="preserve">Cabinet US phase 3</w:t>
            </w:r>
          </w:p>
        </w:tc>
      </w:tr>
    </w:tbl>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7. Décisions d'architecture de conformité — Sprint S1</w:t>
      </w:r>
    </w:p>
    <w:p>
      <w:pPr>
        <w:spacing w:after="80" w:before="60" w:line="276"/>
      </w:pPr>
      <w:r>
        <w:rPr>
          <w:rFonts w:ascii="Arial" w:cs="Arial" w:eastAsia="Arial" w:hAnsi="Arial"/>
          <w:b w:val="false"/>
          <w:bCs w:val="false"/>
          <w:i w:val="false"/>
          <w:iCs w:val="false"/>
          <w:color w:val="111827"/>
          <w:sz w:val="22"/>
          <w:szCs w:val="22"/>
        </w:rPr>
        <w:t xml:space="preserve">Ces décisions doivent être prises et implémentées avant le premier déploiement en production. Les modifier après coup coûte en moyenne 4 à 6 sprints de refactoring.</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7.1 Les décisions non négociables</w:t>
      </w:r>
    </w:p>
    <w:p>
      <w:pPr>
        <w:spacing w:after="80" w:before="220"/>
      </w:pPr>
      <w:r>
        <w:rPr>
          <w:rFonts w:ascii="Arial" w:cs="Arial" w:eastAsia="Arial" w:hAnsi="Arial"/>
          <w:b/>
          <w:bCs/>
          <w:color w:val="991B1B"/>
          <w:sz w:val="24"/>
          <w:szCs w:val="24"/>
        </w:rPr>
        <w:t xml:space="preserve">D1 — Isolation tenant par Row Level Security</w:t>
      </w:r>
    </w:p>
    <w:p>
      <w:pPr>
        <w:spacing w:after="80" w:before="60" w:line="276"/>
      </w:pPr>
      <w:r>
        <w:rPr>
          <w:rFonts w:ascii="Arial" w:cs="Arial" w:eastAsia="Arial" w:hAnsi="Arial"/>
          <w:b w:val="false"/>
          <w:bCs w:val="false"/>
          <w:i w:val="false"/>
          <w:iCs w:val="false"/>
          <w:color w:val="111827"/>
          <w:sz w:val="22"/>
          <w:szCs w:val="22"/>
        </w:rPr>
        <w:t xml:space="preserve">Chaque table de la base de données PostgreSQL porte un champ tenant_id (UUID non prédictible). Une politique RLS est activée sur chaque table. Toute requête sans tenant_id dans le contexte de session est rejetée au niveau base de données, pas au niveau applicatif.</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Implémentation : SET app.current_tenant = '{tenant_id}' en début de chaque connexion.</w:t>
      </w:r>
    </w:p>
    <w:p>
      <w:pPr>
        <w:pStyle w:val="ListParagraph"/>
        <w:numPr>
          <w:ilvl w:val="0"/>
          <w:numId w:val="2"/>
        </w:numPr>
        <w:spacing w:after="40" w:before="40"/>
      </w:pPr>
      <w:r>
        <w:rPr>
          <w:rFonts w:ascii="Arial" w:cs="Arial" w:eastAsia="Arial" w:hAnsi="Arial"/>
          <w:b w:val="false"/>
          <w:bCs w:val="false"/>
          <w:color w:val="111827"/>
          <w:sz w:val="22"/>
          <w:szCs w:val="22"/>
        </w:rPr>
        <w:t xml:space="preserve">Test obligatoire en CI/CD : requête cross-tenant doit retourner 0 résultats.</w:t>
      </w:r>
    </w:p>
    <w:p>
      <w:pPr>
        <w:pStyle w:val="ListParagraph"/>
        <w:numPr>
          <w:ilvl w:val="0"/>
          <w:numId w:val="2"/>
        </w:numPr>
        <w:spacing w:after="40" w:before="40"/>
      </w:pPr>
      <w:r>
        <w:rPr>
          <w:rFonts w:ascii="Arial" w:cs="Arial" w:eastAsia="Arial" w:hAnsi="Arial"/>
          <w:b w:val="false"/>
          <w:bCs w:val="false"/>
          <w:color w:val="111827"/>
          <w:sz w:val="22"/>
          <w:szCs w:val="22"/>
        </w:rPr>
        <w:t xml:space="preserve">Revue de sécurité de toutes les requêtes raw SQL avant merge.</w:t>
      </w:r>
    </w:p>
    <w:p>
      <w:pPr>
        <w:spacing w:after="80" w:before="0"/>
      </w:pPr>
      <w:r>
        <w:t xml:space="preserve"/>
      </w:r>
    </w:p>
    <w:p>
      <w:pPr>
        <w:spacing w:after="80" w:before="220"/>
      </w:pPr>
      <w:r>
        <w:rPr>
          <w:rFonts w:ascii="Arial" w:cs="Arial" w:eastAsia="Arial" w:hAnsi="Arial"/>
          <w:b/>
          <w:bCs/>
          <w:color w:val="991B1B"/>
          <w:sz w:val="24"/>
          <w:szCs w:val="24"/>
        </w:rPr>
        <w:t xml:space="preserve">D2 — Choix de région de stockage par tenant</w:t>
      </w:r>
    </w:p>
    <w:p>
      <w:pPr>
        <w:spacing w:after="80" w:before="60" w:line="276"/>
      </w:pPr>
      <w:r>
        <w:rPr>
          <w:rFonts w:ascii="Arial" w:cs="Arial" w:eastAsia="Arial" w:hAnsi="Arial"/>
          <w:b w:val="false"/>
          <w:bCs w:val="false"/>
          <w:i w:val="false"/>
          <w:iCs w:val="false"/>
          <w:color w:val="111827"/>
          <w:sz w:val="22"/>
          <w:szCs w:val="22"/>
        </w:rPr>
        <w:t xml:space="preserve">Chaque tenant peut choisir la région de stockage de ses données (EU-West-1, AP-Southeast-1, US-East-1). Les données ne quittent jamais la région choisie. Ce choix est immuable après l'onboarding.</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Implémentation : champ storage_region sur la table tenants · routing conditionnel dans document-service et backup-service.</w:t>
      </w:r>
    </w:p>
    <w:p>
      <w:pPr>
        <w:pStyle w:val="ListParagraph"/>
        <w:numPr>
          <w:ilvl w:val="0"/>
          <w:numId w:val="2"/>
        </w:numPr>
        <w:spacing w:after="40" w:before="40"/>
      </w:pPr>
      <w:r>
        <w:rPr>
          <w:rFonts w:ascii="Arial" w:cs="Arial" w:eastAsia="Arial" w:hAnsi="Arial"/>
          <w:b w:val="false"/>
          <w:bCs w:val="false"/>
          <w:color w:val="111827"/>
          <w:sz w:val="22"/>
          <w:szCs w:val="22"/>
        </w:rPr>
        <w:t xml:space="preserve">Par défaut : EU-West-1 (Irlande) pour tous les nouveaux tenants.</w:t>
      </w:r>
    </w:p>
    <w:p>
      <w:pPr>
        <w:spacing w:after="80" w:before="0"/>
      </w:pPr>
      <w:r>
        <w:t xml:space="preserve"/>
      </w:r>
    </w:p>
    <w:p>
      <w:pPr>
        <w:spacing w:after="80" w:before="220"/>
      </w:pPr>
      <w:r>
        <w:rPr>
          <w:rFonts w:ascii="Arial" w:cs="Arial" w:eastAsia="Arial" w:hAnsi="Arial"/>
          <w:b/>
          <w:bCs/>
          <w:color w:val="991B1B"/>
          <w:sz w:val="24"/>
          <w:szCs w:val="24"/>
        </w:rPr>
        <w:t xml:space="preserve">D3 — Audit log immuable et séparé</w:t>
      </w:r>
    </w:p>
    <w:p>
      <w:pPr>
        <w:spacing w:after="80" w:before="60" w:line="276"/>
      </w:pPr>
      <w:r>
        <w:rPr>
          <w:rFonts w:ascii="Arial" w:cs="Arial" w:eastAsia="Arial" w:hAnsi="Arial"/>
          <w:b w:val="false"/>
          <w:bCs w:val="false"/>
          <w:i w:val="false"/>
          <w:iCs w:val="false"/>
          <w:color w:val="111827"/>
          <w:sz w:val="22"/>
          <w:szCs w:val="22"/>
        </w:rPr>
        <w:t xml:space="preserve">Le service d'audit est un microservice indépendant avec sa propre base de données en mode append-only. Aucun autre service ne peut modifier ou supprimer des entrées d'audit. L'audit log enregistre : user_id, tenant_id, action, resource_type, resource_id, ip_address, user_agent, timestamp, result.</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Durée de rétention de l'audit log : 7 ans minimum (obligations légales comptables).</w:t>
      </w:r>
    </w:p>
    <w:p>
      <w:pPr>
        <w:pStyle w:val="ListParagraph"/>
        <w:numPr>
          <w:ilvl w:val="0"/>
          <w:numId w:val="2"/>
        </w:numPr>
        <w:spacing w:after="40" w:before="40"/>
      </w:pPr>
      <w:r>
        <w:rPr>
          <w:rFonts w:ascii="Arial" w:cs="Arial" w:eastAsia="Arial" w:hAnsi="Arial"/>
          <w:b w:val="false"/>
          <w:bCs w:val="false"/>
          <w:color w:val="111827"/>
          <w:sz w:val="22"/>
          <w:szCs w:val="22"/>
        </w:rPr>
        <w:t xml:space="preserve">Accès à l'audit log : lecture seule pour les admins · export sur demande · aucune interface de suppression.</w:t>
      </w:r>
    </w:p>
    <w:p>
      <w:pPr>
        <w:spacing w:after="80" w:before="0"/>
      </w:pPr>
      <w:r>
        <w:t xml:space="preserve"/>
      </w:r>
    </w:p>
    <w:p>
      <w:pPr>
        <w:spacing w:after="80" w:before="220"/>
      </w:pPr>
      <w:r>
        <w:rPr>
          <w:rFonts w:ascii="Arial" w:cs="Arial" w:eastAsia="Arial" w:hAnsi="Arial"/>
          <w:b/>
          <w:bCs/>
          <w:color w:val="92400E"/>
          <w:sz w:val="24"/>
          <w:szCs w:val="24"/>
        </w:rPr>
        <w:t xml:space="preserve">D4 — Pseudonymisation des logs applicatifs</w:t>
      </w:r>
    </w:p>
    <w:p>
      <w:pPr>
        <w:spacing w:after="80" w:before="60" w:line="276"/>
      </w:pPr>
      <w:r>
        <w:rPr>
          <w:rFonts w:ascii="Arial" w:cs="Arial" w:eastAsia="Arial" w:hAnsi="Arial"/>
          <w:b w:val="false"/>
          <w:bCs w:val="false"/>
          <w:i w:val="false"/>
          <w:iCs w:val="false"/>
          <w:color w:val="111827"/>
          <w:sz w:val="22"/>
          <w:szCs w:val="22"/>
        </w:rPr>
        <w:t xml:space="preserve">Les logs d'application (erreurs, traces) ne doivent jamais contenir de données personnelles en clair (nom, e-mail, contenu de contrat). Utiliser des identifiants opaques (user_id, tenant_id) à la place.</w:t>
      </w:r>
    </w:p>
    <w:p>
      <w:pPr>
        <w:spacing w:after="80" w:before="0"/>
      </w:pPr>
      <w:r>
        <w:t xml:space="preserve"/>
      </w:r>
    </w:p>
    <w:p>
      <w:pPr>
        <w:spacing w:after="80" w:before="220"/>
      </w:pPr>
      <w:r>
        <w:rPr>
          <w:rFonts w:ascii="Arial" w:cs="Arial" w:eastAsia="Arial" w:hAnsi="Arial"/>
          <w:b/>
          <w:bCs/>
          <w:color w:val="92400E"/>
          <w:sz w:val="24"/>
          <w:szCs w:val="24"/>
        </w:rPr>
        <w:t xml:space="preserve">D5 — Séparation données certifiées / estimées</w:t>
      </w:r>
    </w:p>
    <w:p>
      <w:pPr>
        <w:spacing w:after="80" w:before="60" w:line="276"/>
      </w:pPr>
      <w:r>
        <w:rPr>
          <w:rFonts w:ascii="Arial" w:cs="Arial" w:eastAsia="Arial" w:hAnsi="Arial"/>
          <w:b w:val="false"/>
          <w:bCs w:val="false"/>
          <w:i w:val="false"/>
          <w:iCs w:val="false"/>
          <w:color w:val="111827"/>
          <w:sz w:val="22"/>
          <w:szCs w:val="22"/>
        </w:rPr>
        <w:t xml:space="preserve">Chaque champ de données technique porte un attribut data_quality : 'certified' (issu d'un document validé), 'declared' (saisi par l'utilisateur sans document source), ou 'estimated' (calculé par IA ou algorithme). Les données 'estimated' ne peuvent pas être utilisées dans les calculs de conformité réglementaire.</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7.2 Checklist de conformité — Sprint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RLS activé sur toutes les tables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Vérifier avec pg_policies · test cross-tenant en CI/CD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KMS configuré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Clés distinctes par environnement (dev/staging/prod)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TLS 1.3 forcé au gateway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Rejet des connexions &lt; TLS 1.2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MFA obligatoire configuré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Impossible de se connecter sans MFA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Audit service déployé</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Append-only · accessible en lecture seule aux admins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Politique de mots de passe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Longueur min 12 · pas de réutilisation · expiration 90j</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Région de stockage définie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EU-West-1 par défaut · champ storage_region sur tenants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Logs sans données personnelles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Revue du format de logs · PII scrubber si nécessaire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Secrets dans Vault / Secrets Manager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Aucun secret en dur dans le code ou les images Docker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Politique de sauvegarde activée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Sauvegarde toutes les heures · test de restauration hebdo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 Pays bloqués configurés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Liste initiale : Russie, Iran, Corée du Nord, Syrie, Cuba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 Mentions légales dans l'UI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Politique de confidentialité · CGU · cookies · valorisation</w:t>
            </w:r>
          </w:p>
        </w:tc>
      </w:tr>
    </w:tbl>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8. Responsabilités et gouvernance de la conformité</w:t>
      </w:r>
    </w:p>
    <w:p>
      <w:pPr>
        <w:pStyle w:val="Heading2"/>
        <w:spacing w:after="140" w:before="320"/>
      </w:pPr>
      <w:r>
        <w:rPr>
          <w:rFonts w:ascii="Arial" w:cs="Arial" w:eastAsia="Arial" w:hAnsi="Arial"/>
          <w:b/>
          <w:bCs/>
          <w:color w:val="0A2540"/>
          <w:sz w:val="28"/>
          <w:szCs w:val="28"/>
        </w:rPr>
        <w:t xml:space="preserve">8.1 Matrice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left"/>
            </w:pPr>
            <w:r>
              <w:rPr>
                <w:rFonts w:ascii="Arial" w:cs="Arial" w:eastAsia="Arial" w:hAnsi="Arial"/>
                <w:b/>
                <w:bCs/>
                <w:color w:val="FFFFFF"/>
                <w:sz w:val="18"/>
                <w:szCs w:val="18"/>
              </w:rPr>
              <w:t xml:space="preserve">Exigence / Processus</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CEO</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CTO</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DPO</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Counsel</w:t>
            </w:r>
          </w:p>
        </w:tc>
        <w:tc>
          <w:tcPr>
            <w:tcW w:type="dxa" w:w="19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Calendrier</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Constitution entité irlandaise</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M0</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Politique de confidentialité RGPD</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M1</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Registre des traitements</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M1</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Architecture RLS et sécurité</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S1</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Screening sanctions (API)</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M4</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Penetration test externe</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M5</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Notification RGPD en cas de breach</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Si incident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Contrats clients (clauses légales)</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M4</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Formation sanctions (équipe)</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M3 + annuel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Gap analysis ISO 27001</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M6</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Audit SOC 2 Type II</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200"/>
            <w:tcBorders>
              <w:top w:val="single" w:color="D1D5DB" w:sz="1"/>
              <w:left w:val="single" w:color="D1D5DB" w:sz="1"/>
              <w:bottom w:val="single" w:color="D1D5DB" w:sz="1"/>
              <w:right w:val="single" w:color="D1D5DB" w:sz="1"/>
            </w:tcBorders>
            <w:shd w:fill="D1FAE5" w:val="clear"/>
            <w:tcMar>
              <w:top w:type="dxa" w:w="70"/>
              <w:left w:type="dxa" w:w="100"/>
              <w:bottom w:type="dxa" w:w="70"/>
              <w:right w:type="dxa" w:w="80"/>
            </w:tcMar>
          </w:tcPr>
          <w:p>
            <w:pPr>
              <w:jc w:val="center"/>
            </w:pPr>
            <w:r>
              <w:rPr>
                <w:rFonts w:ascii="Arial" w:cs="Arial" w:eastAsia="Arial" w:hAnsi="Arial"/>
                <w:b/>
                <w:bCs/>
                <w:color w:val="065F46"/>
                <w:sz w:val="18"/>
                <w:szCs w:val="18"/>
              </w:rPr>
              <w:t xml:space="preserve">I</w:t>
            </w:r>
          </w:p>
        </w:tc>
        <w:tc>
          <w:tcPr>
            <w:tcW w:type="dxa" w:w="1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M12</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0A2540"/>
                <w:sz w:val="18"/>
                <w:szCs w:val="18"/>
              </w:rPr>
              <w:t xml:space="preserve">Révision annuelle de ce document</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tcPr>
          <w:p>
            <w:pPr>
              <w:jc w:val="center"/>
            </w:pPr>
            <w:r>
              <w:rPr>
                <w:rFonts w:ascii="Arial" w:cs="Arial" w:eastAsia="Arial" w:hAnsi="Arial"/>
                <w:b/>
                <w:bCs/>
                <w:color w:val="991B1B"/>
                <w:sz w:val="18"/>
                <w:szCs w:val="18"/>
              </w:rPr>
              <w:t xml:space="preserve">R</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tcPr>
          <w:p>
            <w:pPr>
              <w:jc w:val="center"/>
            </w:pPr>
            <w:r>
              <w:rPr>
                <w:rFonts w:ascii="Arial" w:cs="Arial" w:eastAsia="Arial" w:hAnsi="Arial"/>
                <w:b/>
                <w:bCs/>
                <w:color w:val="92400E"/>
                <w:sz w:val="18"/>
                <w:szCs w:val="18"/>
              </w:rPr>
              <w:t xml:space="preserve">A</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2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80"/>
            </w:tcMar>
          </w:tcPr>
          <w:p>
            <w:pPr>
              <w:jc w:val="center"/>
            </w:pPr>
            <w:r>
              <w:rPr>
                <w:rFonts w:ascii="Arial" w:cs="Arial" w:eastAsia="Arial" w:hAnsi="Arial"/>
                <w:b/>
                <w:bCs/>
                <w:color w:val="1A56DB"/>
                <w:sz w:val="18"/>
                <w:szCs w:val="18"/>
              </w:rPr>
              <w:t xml:space="preserve">C</w:t>
            </w:r>
          </w:p>
        </w:tc>
        <w:tc>
          <w:tcPr>
            <w:tcW w:type="dxa" w:w="1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pPr>
              <w:jc w:val="left"/>
            </w:pPr>
            <w:r>
              <w:rPr>
                <w:rFonts w:ascii="Arial" w:cs="Arial" w:eastAsia="Arial" w:hAnsi="Arial"/>
                <w:b w:val="false"/>
                <w:bCs w:val="false"/>
                <w:color w:val="111827"/>
                <w:sz w:val="18"/>
                <w:szCs w:val="18"/>
              </w:rPr>
              <w:t xml:space="preserve">Annuel</w:t>
            </w:r>
          </w:p>
        </w:tc>
      </w:tr>
    </w:tbl>
    <w:p>
      <w:pPr>
        <w:spacing w:after="80" w:before="0"/>
      </w:pPr>
      <w:r>
        <w:t xml:space="preserve"/>
      </w:r>
    </w:p>
    <w:p>
      <w:pPr>
        <w:spacing w:after="80" w:before="60" w:line="276"/>
      </w:pPr>
      <w:r>
        <w:rPr>
          <w:rFonts w:ascii="Arial" w:cs="Arial" w:eastAsia="Arial" w:hAnsi="Arial"/>
          <w:b w:val="false"/>
          <w:bCs w:val="false"/>
          <w:i/>
          <w:iCs/>
          <w:color w:val="6B7280"/>
          <w:sz w:val="22"/>
          <w:szCs w:val="22"/>
        </w:rPr>
        <w:t xml:space="preserve">Légende : R = Responsable (fait le travail) · A = Accountable (rend des comptes) · C = Consulté · I = Informé</w:t>
      </w:r>
    </w:p>
    <w:p>
      <w:pPr>
        <w:spacing w:after="160" w:before="0"/>
      </w:pPr>
      <w:r>
        <w:t xml:space="preserve"/>
      </w:r>
    </w:p>
    <w:p>
      <w:pPr>
        <w:pStyle w:val="Heading2"/>
        <w:spacing w:after="140" w:before="320"/>
      </w:pPr>
      <w:r>
        <w:rPr>
          <w:rFonts w:ascii="Arial" w:cs="Arial" w:eastAsia="Arial" w:hAnsi="Arial"/>
          <w:b/>
          <w:bCs/>
          <w:color w:val="0A2540"/>
          <w:sz w:val="28"/>
          <w:szCs w:val="28"/>
        </w:rPr>
        <w:t xml:space="preserve">8.2 Roadmap des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200"/>
        <w:gridCol w:w="1200"/>
        <w:gridCol w:w="1760"/>
      </w:tblGrid>
      <w:tr>
        <w:tc>
          <w:tcPr>
            <w:tcW w:type="dxa" w:w="1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Certification</w:t>
            </w:r>
          </w:p>
        </w:tc>
        <w:tc>
          <w:tcPr>
            <w:tcW w:type="dxa" w:w="20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Périmètre</w:t>
            </w:r>
          </w:p>
        </w:tc>
        <w:tc>
          <w:tcPr>
            <w:tcW w:type="dxa" w:w="1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Exigences clés</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Horizon</w:t>
            </w:r>
          </w:p>
        </w:tc>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Budget</w:t>
            </w:r>
          </w:p>
        </w:tc>
        <w:tc>
          <w:tcPr>
            <w:tcW w:type="dxa" w:w="17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80"/>
            </w:tcMar>
          </w:tcPr>
          <w:p>
            <w:r>
              <w:rPr>
                <w:rFonts w:ascii="Arial" w:cs="Arial" w:eastAsia="Arial" w:hAnsi="Arial"/>
                <w:b/>
                <w:bCs/>
                <w:color w:val="FFFFFF"/>
                <w:sz w:val="17"/>
                <w:szCs w:val="17"/>
              </w:rPr>
              <w:t xml:space="preserve">Prérequis</w:t>
            </w:r>
          </w:p>
        </w:tc>
      </w:tr>
      <w:tr>
        <w:tc>
          <w:tcPr>
            <w:tcW w:type="dxa" w:w="1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bCs/>
                <w:color w:val="1A56DB"/>
                <w:sz w:val="17"/>
                <w:szCs w:val="17"/>
              </w:rPr>
              <w:t xml:space="preserve">ISO 27001</w:t>
            </w:r>
          </w:p>
        </w:tc>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SMSI complet — sécurité de l'information</w:t>
            </w:r>
          </w:p>
        </w:tc>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Politique sécurité · gestion des risques · contrôles Annex A</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M18</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€25–40K</w:t>
            </w:r>
          </w:p>
        </w:tc>
        <w:tc>
          <w:tcPr>
            <w:tcW w:type="dxa" w:w="17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Pen test + 6 mois de pratique documentée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1A56DB"/>
                <w:sz w:val="17"/>
                <w:szCs w:val="17"/>
              </w:rPr>
              <w:t xml:space="preserve">SOC 2 Type II</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Sécurité · dispo · confidentialité (AICPA)</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6 mois de période d'observation · audit par cabinet accrédité</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M18</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€30–50K</w:t>
            </w:r>
          </w:p>
        </w:tc>
        <w:tc>
          <w:tcPr>
            <w:tcW w:type="dxa" w:w="1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Readiness assessment M12</w:t>
            </w:r>
          </w:p>
        </w:tc>
      </w:tr>
      <w:tr>
        <w:tc>
          <w:tcPr>
            <w:tcW w:type="dxa" w:w="1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bCs/>
                <w:color w:val="1A56DB"/>
                <w:sz w:val="17"/>
                <w:szCs w:val="17"/>
              </w:rPr>
              <w:t xml:space="preserve">RGPD complet</w:t>
            </w:r>
          </w:p>
        </w:tc>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Conformité totale protection des données UE</w:t>
            </w:r>
          </w:p>
        </w:tc>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Registre · DPIA · DPO · procédures · formation</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M6</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€5–10K</w:t>
            </w:r>
          </w:p>
        </w:tc>
        <w:tc>
          <w:tcPr>
            <w:tcW w:type="dxa" w:w="17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Constitution entité irlandaise</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1A56DB"/>
                <w:sz w:val="17"/>
                <w:szCs w:val="17"/>
              </w:rPr>
              <w:t xml:space="preserve">ISO 27701</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Extension ISO 27001 · privacy management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Extension du SMSI aux données personnelles · PIMS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M24</w:t>
            </w:r>
          </w:p>
        </w:tc>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€10–15K</w:t>
            </w:r>
          </w:p>
        </w:tc>
        <w:tc>
          <w:tcPr>
            <w:tcW w:type="dxa" w:w="1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val="false"/>
                <w:bCs w:val="false"/>
                <w:color w:val="111827"/>
                <w:sz w:val="17"/>
                <w:szCs w:val="17"/>
              </w:rPr>
              <w:t xml:space="preserve">ISO 27001 obtenu</w:t>
            </w:r>
          </w:p>
        </w:tc>
      </w:tr>
      <w:tr>
        <w:tc>
          <w:tcPr>
            <w:tcW w:type="dxa" w:w="14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bCs/>
                <w:color w:val="1A56DB"/>
                <w:sz w:val="17"/>
                <w:szCs w:val="17"/>
              </w:rPr>
              <w:t xml:space="preserve">TISAX</w:t>
            </w:r>
          </w:p>
        </w:tc>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Standard automotive / aéro pour données sensibles</w:t>
            </w:r>
          </w:p>
        </w:tc>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Évaluation par prestataire accrédité ENX</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M30+</w:t>
            </w:r>
          </w:p>
        </w:tc>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€15–25K</w:t>
            </w:r>
          </w:p>
        </w:tc>
        <w:tc>
          <w:tcPr>
            <w:tcW w:type="dxa" w:w="17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tcPr>
          <w:p>
            <w:r>
              <w:rPr>
                <w:rFonts w:ascii="Arial" w:cs="Arial" w:eastAsia="Arial" w:hAnsi="Arial"/>
                <w:b w:val="false"/>
                <w:bCs w:val="false"/>
                <w:color w:val="111827"/>
                <w:sz w:val="17"/>
                <w:szCs w:val="17"/>
              </w:rPr>
              <w:t xml:space="preserve">Si clients OEM ou Tier 1</w:t>
            </w:r>
          </w:p>
        </w:tc>
      </w:tr>
    </w:tbl>
    <w:p>
      <w:pPr>
        <w:spacing w:after="160" w:before="0"/>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9. Budget conformité — 18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Conseil juridique irlandais (M0)</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€8–15K · constitution entité · contrats clients · CGU · politique de confidentialité</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API screening sanctions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€8–15K / an · Refinitiv, ComplyAdvantage ou équivalent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Penetration test externe (M5)</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€12–20K · rapport complet · test boîte noire + boîte grise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Audit ISO 27001 gap analysis (M6)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€8–12K · consultant spécialisé · rapport + plan d'action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DPIA pipeline IA (M4)</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€3–6K · consultant RGPD · document + validation DPC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Formation sanctions (toute l'équipe)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€2–4K · programme externe · attestations individuelles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Penetration test #2 (M12)</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€12–20K · re-test + nouveaux modules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SOC 2 readiness assessment (M12)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€10–15K · cabinet AICPA accrédité · gap analysis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Outillage conformité (outils + licences)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€5–8K / an · GRC tool · gestion des preuves d'audit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Réserve incidents imprévus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€10–15K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TOTAL estimé 18 mois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€78–130K selon le cabinet choisi et la géographie</w:t>
            </w:r>
          </w:p>
        </w:tc>
      </w:tr>
    </w:tbl>
    <w:p>
      <w:pPr>
        <w:spacing w:after="80" w:before="0"/>
      </w:pPr>
      <w:r>
        <w:t xml:space="preserve"/>
      </w:r>
    </w:p>
    <w:p>
      <w:pPr>
        <w:pBdr>
          <w:left w:val="single" w:color="D97706" w:sz="16" w:space="10"/>
        </w:pBdr>
        <w:shd w:fill="FEF3C7" w:val="clear"/>
        <w:spacing w:after="120" w:before="120"/>
        <w:ind w:left="320"/>
      </w:pPr>
      <w:r>
        <w:rPr>
          <w:rFonts w:ascii="Arial" w:cs="Arial" w:eastAsia="Arial" w:hAnsi="Arial"/>
          <w:i/>
          <w:iCs/>
          <w:color w:val="374151"/>
          <w:sz w:val="21"/>
          <w:szCs w:val="21"/>
        </w:rPr>
        <w:t xml:space="preserve">Ce budget est indicatif et peut varier significativement. La complexité d'une expansion multi-juridictions (EU + US + SG simultanément) peut tripler ces coûts. La séquence recommandée est EU d'abord, puis expansion pays par pays.</w:t>
      </w:r>
    </w:p>
    <w:p>
      <w:pPr>
        <w:pageBreakBefore/>
      </w:pPr>
      <w:r>
        <w:t xml:space="preserve"/>
      </w:r>
    </w:p>
    <w:p>
      <w:pPr>
        <w:pStyle w:val="Heading1"/>
        <w:pBdr>
          <w:bottom w:val="single" w:color="1A56DB" w:sz="12" w:space="6"/>
        </w:pBdr>
        <w:spacing w:after="200" w:before="480"/>
      </w:pPr>
      <w:r>
        <w:rPr>
          <w:rFonts w:ascii="Arial" w:cs="Arial" w:eastAsia="Arial" w:hAnsi="Arial"/>
          <w:b/>
          <w:bCs/>
          <w:color w:val="0A2540"/>
          <w:sz w:val="36"/>
          <w:szCs w:val="36"/>
        </w:rPr>
        <w:t xml:space="preserve">10. Synthèse — Ce qui ne peut pas attendre</w:t>
      </w:r>
    </w:p>
    <w:p>
      <w:pPr>
        <w:spacing w:after="80" w:before="60" w:line="276"/>
      </w:pPr>
      <w:r>
        <w:rPr>
          <w:rFonts w:ascii="Arial" w:cs="Arial" w:eastAsia="Arial" w:hAnsi="Arial"/>
          <w:b w:val="false"/>
          <w:bCs w:val="false"/>
          <w:i w:val="false"/>
          <w:iCs w:val="false"/>
          <w:color w:val="111827"/>
          <w:sz w:val="22"/>
          <w:szCs w:val="22"/>
        </w:rPr>
        <w:t xml:space="preserve">La conformité réglementaire n'est pas un projet distinct qui démarre après le lancement. C'est un ensemble de décisions architecturales et organisationnelles qui conditionnent tout le reste. Voici les 10 actions qui doivent être complétées avant le premier client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1. Entité irlandaise constituée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Avant d'accepter le moindre paiement · base légale des contrats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2. CGU et politique de confidentialité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En ligne avant l'onboarding du premier utilisateur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3. RLS PostgreSQL activé</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Dans le sprint S1 · impossible à ajouter proprement après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4. Région de stockage EU par défaut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Dans le sprint S1 · choix irréversible après l'onboarding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5. Audit log immuable déployé</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Dans le sprint S1 · requis pour toute certification ultérieure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6. MFA obligatoire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Avant l'ouverture des accès beta · non négociable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7. API sanctions opérationnelle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Avant de valider le premier contrat dans la plateforme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8. Liste de pays bloqués configurée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Dans le sprint S4 · avant l'activation du module Leasing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b/>
                <w:bCs/>
                <w:color w:val="0A2540"/>
                <w:sz w:val="20"/>
                <w:szCs w:val="20"/>
              </w:rPr>
              <w:t xml:space="preserve">9. Penetration test commandé</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80"/>
            </w:tcMar>
          </w:tcPr>
          <w:p>
            <w:r>
              <w:rPr>
                <w:rFonts w:ascii="Arial" w:cs="Arial" w:eastAsia="Arial" w:hAnsi="Arial"/>
                <w:color w:val="111827"/>
                <w:sz w:val="20"/>
                <w:szCs w:val="20"/>
              </w:rPr>
              <w:t xml:space="preserve">À commander à M3 pour réception à M5 · délai incompressible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b/>
                <w:bCs/>
                <w:color w:val="0A2540"/>
                <w:sz w:val="20"/>
                <w:szCs w:val="20"/>
              </w:rPr>
              <w:t xml:space="preserve">10. Conseil juridique local désigné</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80"/>
            </w:tcMar>
          </w:tcPr>
          <w:p>
            <w:r>
              <w:rPr>
                <w:rFonts w:ascii="Arial" w:cs="Arial" w:eastAsia="Arial" w:hAnsi="Arial"/>
                <w:color w:val="111827"/>
                <w:sz w:val="20"/>
                <w:szCs w:val="20"/>
              </w:rPr>
              <w:t xml:space="preserve">À M0 · pas à M6 · les questions légales surgissent tôt</w:t>
            </w:r>
          </w:p>
        </w:tc>
      </w:tr>
    </w:tbl>
    <w:p>
      <w:pPr>
        <w:spacing w:after="160" w:before="0"/>
      </w:pPr>
      <w:r>
        <w:t xml:space="preserve"/>
      </w:r>
    </w:p>
    <w:p>
      <w:pPr>
        <w:pBdr>
          <w:left w:val="single" w:color="1A56DB" w:sz="20" w:space="12"/>
        </w:pBdr>
        <w:shd w:fill="EFF6FF" w:val="clear"/>
        <w:spacing w:after="200" w:before="300"/>
        <w:ind w:left="360"/>
      </w:pPr>
      <w:r>
        <w:rPr>
          <w:rFonts w:ascii="Arial" w:cs="Arial" w:eastAsia="Arial" w:hAnsi="Arial"/>
          <w:b/>
          <w:bCs/>
          <w:i/>
          <w:iCs/>
          <w:color w:val="0A2540"/>
          <w:sz w:val="23"/>
          <w:szCs w:val="23"/>
        </w:rPr>
        <w:t xml:space="preserve">La conformité bien faite dès le départ n'est pas un coût — c'est un argument commercial. Un lessor ou un fonds qui confie ses données à AeroOS veut savoir que ses contrats, ses valorisations et ses données techniques sont protégés au même niveau que ses actifs physiques.</w:t>
      </w:r>
    </w:p>
    <w:p>
      <w:pPr>
        <w:spacing w:after="160" w:before="0"/>
      </w:pPr>
      <w:r>
        <w:t xml:space="preserve"/>
      </w:r>
    </w:p>
    <w:p>
      <w:pPr>
        <w:jc w:val="center"/>
      </w:pPr>
      <w:r>
        <w:rPr>
          <w:rFonts w:ascii="Arial" w:cs="Arial" w:eastAsia="Arial" w:hAnsi="Arial"/>
          <w:color w:val="6B7280"/>
          <w:sz w:val="16"/>
          <w:szCs w:val="16"/>
        </w:rPr>
        <w:t xml:space="preserve">AeroOS — Cahier de conformité réglementaire — Juillet 2025 — Confidentiel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026"/>
      </w:tabs>
    </w:pPr>
    <w:r>
      <w:rPr>
        <w:rFonts w:ascii="Arial" w:cs="Arial" w:eastAsia="Arial" w:hAnsi="Arial"/>
        <w:color w:val="6B7280"/>
        <w:sz w:val="16"/>
        <w:szCs w:val="16"/>
      </w:rPr>
      <w:t xml:space="preserve">Confidentiel — Version 1.0 — Juillet 2025</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b/>
        <w:bCs/>
        <w:color w:val="0A2540"/>
        <w:sz w:val="18"/>
        <w:szCs w:val="18"/>
      </w:rPr>
      <w:t xml:space="preserve">AeroOS</w:t>
    </w:r>
    <w:r>
      <w:rPr>
        <w:rFonts w:ascii="Arial" w:cs="Arial" w:eastAsia="Arial" w:hAnsi="Arial"/>
        <w:color w:val="6B7280"/>
        <w:sz w:val="16"/>
        <w:szCs w:val="16"/>
      </w:rPr>
      <w:t xml:space="preserve">	Cahier de conformité réglementaire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2540"/>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2026-06-28T17:20:17.061Z</dcterms:created>
  <dcterms:modified xsi:type="dcterms:W3CDTF">2026-06-28T17:20:17.074Z</dcterms:modified>
</cp:coreProperties>
</file>

<file path=docProps/custom.xml><?xml version="1.0" encoding="utf-8"?>
<Properties xmlns="http://schemas.openxmlformats.org/officeDocument/2006/custom-properties" xmlns:vt="http://schemas.openxmlformats.org/officeDocument/2006/docPropsVTypes"/>
</file>